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49FF1" w14:textId="77777777" w:rsidR="00F219A5" w:rsidRPr="00F219A5" w:rsidRDefault="00F219A5" w:rsidP="00F219A5">
      <w:pPr>
        <w:spacing w:after="0" w:line="240" w:lineRule="auto"/>
        <w:ind w:left="2160"/>
        <w:outlineLvl w:val="2"/>
        <w:rPr>
          <w:rFonts w:ascii="Times New Roman" w:eastAsiaTheme="majorEastAsia" w:hAnsi="Times New Roman" w:cs="Times New Roman"/>
          <w:b/>
          <w:bCs/>
          <w:i/>
          <w:sz w:val="24"/>
          <w:szCs w:val="16"/>
        </w:rPr>
      </w:pPr>
      <w:r w:rsidRPr="00F219A5">
        <w:rPr>
          <w:rFonts w:ascii="Times New Roman" w:eastAsiaTheme="majorEastAsia" w:hAnsi="Times New Roman" w:cs="Times New Roman"/>
          <w:b/>
          <w:bCs/>
          <w:i/>
          <w:noProof/>
          <w:sz w:val="24"/>
          <w:szCs w:val="16"/>
        </w:rPr>
        <w:drawing>
          <wp:anchor distT="0" distB="0" distL="114300" distR="114300" simplePos="0" relativeHeight="251668480" behindDoc="1" locked="0" layoutInCell="1" allowOverlap="1" wp14:anchorId="3FB27C03" wp14:editId="3D4C539C">
            <wp:simplePos x="0" y="0"/>
            <wp:positionH relativeFrom="column">
              <wp:posOffset>12700</wp:posOffset>
            </wp:positionH>
            <wp:positionV relativeFrom="paragraph">
              <wp:posOffset>-234950</wp:posOffset>
            </wp:positionV>
            <wp:extent cx="749300" cy="1060450"/>
            <wp:effectExtent l="19050" t="0" r="0" b="0"/>
            <wp:wrapTight wrapText="bothSides">
              <wp:wrapPolygon edited="0">
                <wp:start x="-549" y="0"/>
                <wp:lineTo x="-549" y="21341"/>
                <wp:lineTo x="21417" y="21341"/>
                <wp:lineTo x="21417" y="0"/>
                <wp:lineTo x="-549" y="0"/>
              </wp:wrapPolygon>
            </wp:wrapTight>
            <wp:docPr id="1" name="Picture 4" descr="E:\Shyamalendu-2\Template\Update cover page--others\AJOAIMS-A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hyamalendu-2\Template\Update cover page--others\AJOAIMS-A4--1.jpg"/>
                    <pic:cNvPicPr>
                      <a:picLocks noChangeAspect="1" noChangeArrowheads="1"/>
                    </pic:cNvPicPr>
                  </pic:nvPicPr>
                  <pic:blipFill>
                    <a:blip r:embed="rId8" cstate="print"/>
                    <a:srcRect/>
                    <a:stretch>
                      <a:fillRect/>
                    </a:stretch>
                  </pic:blipFill>
                  <pic:spPr bwMode="auto">
                    <a:xfrm>
                      <a:off x="0" y="0"/>
                      <a:ext cx="749300" cy="1060450"/>
                    </a:xfrm>
                    <a:prstGeom prst="rect">
                      <a:avLst/>
                    </a:prstGeom>
                    <a:noFill/>
                    <a:ln w="9525">
                      <a:noFill/>
                      <a:miter lim="800000"/>
                      <a:headEnd/>
                      <a:tailEnd/>
                    </a:ln>
                  </pic:spPr>
                </pic:pic>
              </a:graphicData>
            </a:graphic>
          </wp:anchor>
        </w:drawing>
      </w:r>
      <w:r w:rsidRPr="00F219A5">
        <w:rPr>
          <w:rFonts w:ascii="Times New Roman" w:eastAsiaTheme="majorEastAsia" w:hAnsi="Times New Roman" w:cs="Times New Roman"/>
          <w:b/>
          <w:bCs/>
          <w:i/>
          <w:noProof/>
          <w:sz w:val="24"/>
          <w:szCs w:val="16"/>
        </w:rPr>
        <w:t>Asian Journal of Advances in Medical Science</w:t>
      </w:r>
    </w:p>
    <w:p w14:paraId="56A8BA64" w14:textId="77777777" w:rsidR="00F219A5" w:rsidRPr="00F219A5" w:rsidRDefault="00F219A5" w:rsidP="00F219A5">
      <w:pPr>
        <w:spacing w:after="0" w:line="240" w:lineRule="auto"/>
        <w:ind w:left="2160"/>
        <w:contextualSpacing/>
        <w:rPr>
          <w:rFonts w:ascii="Times New Roman" w:eastAsia="Times New Roman" w:hAnsi="Times New Roman" w:cs="Times New Roman"/>
          <w:b/>
          <w:i/>
          <w:noProof/>
          <w:sz w:val="24"/>
          <w:szCs w:val="16"/>
          <w:lang w:eastAsia="zh-TW"/>
        </w:rPr>
      </w:pPr>
    </w:p>
    <w:p w14:paraId="22036001" w14:textId="0D884115" w:rsidR="00F219A5" w:rsidRPr="00F219A5" w:rsidRDefault="00F219A5" w:rsidP="00F219A5">
      <w:pPr>
        <w:spacing w:after="0" w:line="240" w:lineRule="auto"/>
        <w:ind w:left="2160"/>
        <w:outlineLvl w:val="3"/>
        <w:rPr>
          <w:rFonts w:ascii="Times New Roman" w:eastAsia="Times New Roman" w:hAnsi="Times New Roman" w:cs="Times New Roman"/>
          <w:b/>
          <w:bCs/>
          <w:i/>
          <w:iCs/>
          <w:sz w:val="20"/>
        </w:rPr>
      </w:pPr>
      <w:r w:rsidRPr="00F219A5">
        <w:rPr>
          <w:rFonts w:ascii="Times New Roman" w:eastAsia="Times New Roman" w:hAnsi="Times New Roman" w:cs="Times New Roman"/>
          <w:b/>
          <w:bCs/>
          <w:i/>
          <w:iCs/>
          <w:sz w:val="20"/>
        </w:rPr>
        <w:t xml:space="preserve">Volume </w:t>
      </w:r>
      <w:r w:rsidR="00491E06">
        <w:rPr>
          <w:rFonts w:ascii="Times New Roman" w:eastAsia="Times New Roman" w:hAnsi="Times New Roman" w:cs="Times New Roman"/>
          <w:b/>
          <w:bCs/>
          <w:i/>
          <w:iCs/>
          <w:sz w:val="20"/>
        </w:rPr>
        <w:t>8</w:t>
      </w:r>
      <w:r w:rsidRPr="00F219A5">
        <w:rPr>
          <w:rFonts w:ascii="Times New Roman" w:eastAsia="Times New Roman" w:hAnsi="Times New Roman" w:cs="Times New Roman"/>
          <w:b/>
          <w:bCs/>
          <w:i/>
          <w:iCs/>
          <w:sz w:val="20"/>
        </w:rPr>
        <w:t xml:space="preserve">, Issue </w:t>
      </w:r>
      <w:r w:rsidR="00491E06">
        <w:rPr>
          <w:rFonts w:ascii="Times New Roman" w:eastAsia="Times New Roman" w:hAnsi="Times New Roman" w:cs="Times New Roman"/>
          <w:b/>
          <w:bCs/>
          <w:i/>
          <w:iCs/>
          <w:sz w:val="20"/>
        </w:rPr>
        <w:t>1</w:t>
      </w:r>
      <w:r w:rsidRPr="00F219A5">
        <w:rPr>
          <w:rFonts w:ascii="Times New Roman" w:eastAsia="Times New Roman" w:hAnsi="Times New Roman" w:cs="Times New Roman"/>
          <w:b/>
          <w:bCs/>
          <w:i/>
          <w:iCs/>
          <w:sz w:val="20"/>
        </w:rPr>
        <w:t xml:space="preserve">, Page </w:t>
      </w:r>
      <w:r w:rsidR="00491E06">
        <w:rPr>
          <w:rFonts w:ascii="Times New Roman" w:eastAsia="Times New Roman" w:hAnsi="Times New Roman" w:cs="Times New Roman"/>
          <w:b/>
          <w:bCs/>
          <w:i/>
          <w:iCs/>
          <w:sz w:val="20"/>
        </w:rPr>
        <w:t>72</w:t>
      </w:r>
      <w:r w:rsidRPr="00F219A5">
        <w:rPr>
          <w:rFonts w:ascii="Times New Roman" w:eastAsia="Times New Roman" w:hAnsi="Times New Roman" w:cs="Times New Roman"/>
          <w:b/>
          <w:bCs/>
          <w:i/>
          <w:iCs/>
          <w:sz w:val="20"/>
        </w:rPr>
        <w:t>-</w:t>
      </w:r>
      <w:r w:rsidR="00491E06">
        <w:rPr>
          <w:rFonts w:ascii="Times New Roman" w:eastAsia="Times New Roman" w:hAnsi="Times New Roman" w:cs="Times New Roman"/>
          <w:b/>
          <w:bCs/>
          <w:i/>
          <w:iCs/>
          <w:sz w:val="20"/>
        </w:rPr>
        <w:t>85</w:t>
      </w:r>
      <w:r w:rsidRPr="00F219A5">
        <w:rPr>
          <w:rFonts w:ascii="Times New Roman" w:eastAsia="Times New Roman" w:hAnsi="Times New Roman" w:cs="Times New Roman"/>
          <w:b/>
          <w:bCs/>
          <w:i/>
          <w:iCs/>
          <w:sz w:val="20"/>
        </w:rPr>
        <w:t>, 2</w:t>
      </w:r>
      <w:r w:rsidR="00491E06">
        <w:rPr>
          <w:rFonts w:ascii="Times New Roman" w:eastAsia="Times New Roman" w:hAnsi="Times New Roman" w:cs="Times New Roman"/>
          <w:b/>
          <w:bCs/>
          <w:i/>
          <w:iCs/>
          <w:sz w:val="20"/>
        </w:rPr>
        <w:t>026</w:t>
      </w:r>
      <w:r w:rsidRPr="00F219A5">
        <w:rPr>
          <w:rFonts w:ascii="Times New Roman" w:eastAsia="Times New Roman" w:hAnsi="Times New Roman" w:cs="Times New Roman"/>
          <w:b/>
          <w:bCs/>
          <w:i/>
          <w:iCs/>
          <w:sz w:val="20"/>
        </w:rPr>
        <w:t xml:space="preserve">; Article </w:t>
      </w:r>
      <w:proofErr w:type="gramStart"/>
      <w:r w:rsidRPr="00F219A5">
        <w:rPr>
          <w:rFonts w:ascii="Times New Roman" w:eastAsia="Times New Roman" w:hAnsi="Times New Roman" w:cs="Times New Roman"/>
          <w:b/>
          <w:bCs/>
          <w:i/>
          <w:iCs/>
          <w:sz w:val="20"/>
        </w:rPr>
        <w:t>no.AJOAIMS</w:t>
      </w:r>
      <w:proofErr w:type="gramEnd"/>
      <w:r>
        <w:rPr>
          <w:rFonts w:ascii="Times New Roman" w:eastAsia="Times New Roman" w:hAnsi="Times New Roman" w:cs="Times New Roman"/>
          <w:b/>
          <w:bCs/>
          <w:i/>
          <w:iCs/>
          <w:sz w:val="20"/>
        </w:rPr>
        <w:t>.</w:t>
      </w:r>
      <w:r w:rsidRPr="00F219A5">
        <w:rPr>
          <w:rFonts w:ascii="Times New Roman" w:eastAsia="Times New Roman" w:hAnsi="Times New Roman" w:cs="Times New Roman"/>
          <w:b/>
          <w:bCs/>
          <w:i/>
          <w:iCs/>
          <w:sz w:val="20"/>
        </w:rPr>
        <w:t>5995</w:t>
      </w:r>
    </w:p>
    <w:p w14:paraId="7686B963" w14:textId="77777777" w:rsidR="00F219A5" w:rsidRPr="00F219A5" w:rsidRDefault="00F219A5" w:rsidP="00F219A5">
      <w:pPr>
        <w:spacing w:after="0" w:line="240" w:lineRule="auto"/>
        <w:ind w:left="2160"/>
        <w:contextualSpacing/>
        <w:rPr>
          <w:rFonts w:ascii="Times New Roman" w:eastAsia="Times New Roman" w:hAnsi="Times New Roman" w:cs="Times New Roman"/>
          <w:b/>
          <w:i/>
          <w:sz w:val="18"/>
          <w:szCs w:val="20"/>
        </w:rPr>
      </w:pPr>
    </w:p>
    <w:p w14:paraId="2982FF8E" w14:textId="77777777" w:rsidR="00F219A5" w:rsidRPr="00F219A5" w:rsidRDefault="00F219A5" w:rsidP="00F219A5">
      <w:pPr>
        <w:spacing w:after="0" w:line="240" w:lineRule="auto"/>
        <w:contextualSpacing/>
        <w:jc w:val="center"/>
        <w:rPr>
          <w:rFonts w:ascii="Times New Roman" w:eastAsia="Times New Roman" w:hAnsi="Times New Roman" w:cs="Times New Roman"/>
          <w:b/>
          <w:i/>
          <w:sz w:val="14"/>
          <w:szCs w:val="20"/>
        </w:rPr>
      </w:pPr>
    </w:p>
    <w:p w14:paraId="2192B657" w14:textId="77777777" w:rsidR="00F219A5" w:rsidRPr="00F219A5" w:rsidRDefault="00F219A5" w:rsidP="00F219A5">
      <w:pPr>
        <w:spacing w:after="0" w:line="240" w:lineRule="auto"/>
        <w:contextualSpacing/>
        <w:jc w:val="center"/>
        <w:rPr>
          <w:rFonts w:ascii="Times New Roman" w:eastAsia="Times New Roman" w:hAnsi="Times New Roman" w:cs="Times New Roman"/>
          <w:b/>
          <w:i/>
          <w:sz w:val="14"/>
          <w:szCs w:val="20"/>
        </w:rPr>
      </w:pPr>
    </w:p>
    <w:p w14:paraId="1469F396" w14:textId="77777777" w:rsidR="00F219A5" w:rsidRPr="00F219A5" w:rsidRDefault="00897A62" w:rsidP="00F219A5">
      <w:pPr>
        <w:spacing w:after="0" w:line="240" w:lineRule="auto"/>
        <w:contextualSpacing/>
        <w:jc w:val="center"/>
        <w:rPr>
          <w:rFonts w:ascii="Times New Roman" w:eastAsia="Times New Roman" w:hAnsi="Times New Roman" w:cs="Times New Roman"/>
          <w:b/>
          <w:bCs/>
          <w:kern w:val="28"/>
          <w:sz w:val="12"/>
          <w:szCs w:val="20"/>
        </w:rPr>
      </w:pPr>
      <w:r>
        <w:rPr>
          <w:rFonts w:ascii="Times New Roman" w:eastAsia="Times New Roman" w:hAnsi="Times New Roman" w:cs="Times New Roman"/>
          <w:b/>
          <w:bCs/>
          <w:noProof/>
          <w:kern w:val="28"/>
          <w:sz w:val="32"/>
          <w:szCs w:val="20"/>
        </w:rPr>
      </w:r>
      <w:r>
        <w:rPr>
          <w:rFonts w:ascii="Times New Roman" w:eastAsia="Times New Roman" w:hAnsi="Times New Roman" w:cs="Times New Roman"/>
          <w:b/>
          <w:bCs/>
          <w:noProof/>
          <w:kern w:val="28"/>
          <w:sz w:val="32"/>
          <w:szCs w:val="20"/>
        </w:rPr>
        <w:pict w14:anchorId="7860ADB3">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80" type="#_x0000_t34" style="width:450.7pt;height:.05pt;visibility:visible;mso-left-percent:-10001;mso-top-percent:-10001;mso-position-horizontal:absolute;mso-position-horizontal-relative:char;mso-position-vertical:absolute;mso-position-vertical-relative:line;mso-left-percent:-10001;mso-top-percent:-10001" adj="10799,-62100000,-2666" strokeweight="1.5pt">
            <o:lock v:ext="edit" aspectratio="t"/>
            <w10:anchorlock/>
          </v:shape>
        </w:pict>
      </w:r>
    </w:p>
    <w:p w14:paraId="3977C165" w14:textId="77777777" w:rsidR="00E531CD" w:rsidRPr="001C6BC5" w:rsidRDefault="00E531CD" w:rsidP="00F219A5">
      <w:pPr>
        <w:spacing w:after="0" w:line="240" w:lineRule="auto"/>
        <w:jc w:val="right"/>
        <w:rPr>
          <w:rFonts w:asciiTheme="majorBidi" w:eastAsia="Times New Roman" w:hAnsiTheme="majorBidi" w:cstheme="majorBidi"/>
          <w:b/>
          <w:bCs/>
          <w:iCs/>
          <w:kern w:val="28"/>
          <w:sz w:val="20"/>
          <w:szCs w:val="20"/>
        </w:rPr>
      </w:pPr>
    </w:p>
    <w:p w14:paraId="42430B98" w14:textId="2CDE9880" w:rsidR="003F47A0" w:rsidRPr="001C6BC5" w:rsidRDefault="00A070D3" w:rsidP="00F219A5">
      <w:pPr>
        <w:pStyle w:val="Heading1"/>
        <w:keepNext w:val="0"/>
        <w:keepLines w:val="0"/>
        <w:rPr>
          <w:rFonts w:asciiTheme="majorBidi" w:eastAsia="Times New Roman" w:hAnsiTheme="majorBidi"/>
          <w:kern w:val="28"/>
          <w:sz w:val="48"/>
          <w:szCs w:val="48"/>
        </w:rPr>
      </w:pPr>
      <w:r w:rsidRPr="001C6BC5">
        <w:rPr>
          <w:rFonts w:asciiTheme="majorBidi" w:eastAsia="Times New Roman" w:hAnsiTheme="majorBidi"/>
          <w:kern w:val="28"/>
          <w:sz w:val="48"/>
          <w:szCs w:val="48"/>
        </w:rPr>
        <w:t>Artificial Intelligence in Antimicrobial Stewardship: Predictive Models and the Future of Combating Antimicrobial Resistance</w:t>
      </w:r>
    </w:p>
    <w:p w14:paraId="2120A023" w14:textId="77777777" w:rsidR="003F47A0" w:rsidRPr="001C6BC5" w:rsidRDefault="003F47A0" w:rsidP="00F219A5">
      <w:pPr>
        <w:spacing w:after="0" w:line="240" w:lineRule="auto"/>
        <w:jc w:val="right"/>
        <w:rPr>
          <w:rFonts w:asciiTheme="majorBidi" w:eastAsia="Times New Roman" w:hAnsiTheme="majorBidi" w:cstheme="majorBidi"/>
          <w:b/>
          <w:bCs/>
          <w:sz w:val="36"/>
          <w:szCs w:val="20"/>
        </w:rPr>
      </w:pPr>
    </w:p>
    <w:p w14:paraId="7BAC10FD" w14:textId="26429CBF" w:rsidR="003F47A0" w:rsidRPr="001C6BC5" w:rsidRDefault="00A25153" w:rsidP="00F219A5">
      <w:pPr>
        <w:spacing w:after="0" w:line="240" w:lineRule="auto"/>
        <w:jc w:val="right"/>
        <w:rPr>
          <w:rFonts w:asciiTheme="majorBidi" w:eastAsia="Times New Roman" w:hAnsiTheme="majorBidi" w:cstheme="majorBidi"/>
          <w:b/>
          <w:bCs/>
          <w:sz w:val="32"/>
          <w:szCs w:val="32"/>
        </w:rPr>
      </w:pPr>
      <w:r w:rsidRPr="001C6BC5">
        <w:rPr>
          <w:rFonts w:asciiTheme="majorBidi" w:eastAsia="Times New Roman" w:hAnsiTheme="majorBidi" w:cstheme="majorBidi"/>
          <w:b/>
          <w:bCs/>
          <w:sz w:val="32"/>
          <w:szCs w:val="32"/>
          <w:lang w:val="en-IN"/>
        </w:rPr>
        <w:t xml:space="preserve">K. S. Srimanth </w:t>
      </w:r>
      <w:r w:rsidR="00AB0D5D" w:rsidRPr="001C6BC5">
        <w:rPr>
          <w:rFonts w:asciiTheme="majorBidi" w:eastAsia="Times New Roman" w:hAnsiTheme="majorBidi" w:cstheme="majorBidi"/>
          <w:b/>
          <w:bCs/>
          <w:sz w:val="32"/>
          <w:szCs w:val="32"/>
          <w:vertAlign w:val="superscript"/>
          <w:lang w:val="en-IN"/>
        </w:rPr>
        <w:t>a*</w:t>
      </w:r>
      <w:r w:rsidRPr="001C6BC5">
        <w:rPr>
          <w:rFonts w:asciiTheme="majorBidi" w:eastAsia="Times New Roman" w:hAnsiTheme="majorBidi" w:cstheme="majorBidi"/>
          <w:b/>
          <w:bCs/>
          <w:sz w:val="32"/>
          <w:szCs w:val="32"/>
          <w:lang w:val="en-IN"/>
        </w:rPr>
        <w:t xml:space="preserve"> and Anil Dhakal</w:t>
      </w:r>
      <w:r w:rsidR="00AB0D5D" w:rsidRPr="001C6BC5">
        <w:rPr>
          <w:rFonts w:asciiTheme="majorBidi" w:eastAsia="Times New Roman" w:hAnsiTheme="majorBidi" w:cstheme="majorBidi"/>
          <w:b/>
          <w:bCs/>
          <w:sz w:val="32"/>
          <w:szCs w:val="32"/>
          <w:lang w:val="en-IN"/>
        </w:rPr>
        <w:t xml:space="preserve"> </w:t>
      </w:r>
      <w:r w:rsidR="00AB0D5D" w:rsidRPr="001C6BC5">
        <w:rPr>
          <w:rFonts w:asciiTheme="majorBidi" w:eastAsia="Times New Roman" w:hAnsiTheme="majorBidi" w:cstheme="majorBidi"/>
          <w:b/>
          <w:bCs/>
          <w:sz w:val="32"/>
          <w:szCs w:val="32"/>
          <w:vertAlign w:val="superscript"/>
          <w:lang w:val="en-IN"/>
        </w:rPr>
        <w:t>a</w:t>
      </w:r>
    </w:p>
    <w:p w14:paraId="1314B58B" w14:textId="77777777" w:rsidR="003F47A0" w:rsidRPr="001C6BC5" w:rsidRDefault="003F47A0" w:rsidP="00F219A5">
      <w:pPr>
        <w:spacing w:after="0" w:line="240" w:lineRule="auto"/>
        <w:jc w:val="right"/>
        <w:rPr>
          <w:rFonts w:asciiTheme="majorBidi" w:eastAsia="Times New Roman" w:hAnsiTheme="majorBidi" w:cstheme="majorBidi"/>
          <w:b/>
          <w:bCs/>
          <w:sz w:val="24"/>
          <w:szCs w:val="20"/>
        </w:rPr>
      </w:pPr>
    </w:p>
    <w:p w14:paraId="1C856440" w14:textId="658B0259" w:rsidR="003F47A0" w:rsidRPr="001C6BC5" w:rsidRDefault="00AB0D5D" w:rsidP="00F219A5">
      <w:pPr>
        <w:spacing w:after="0" w:line="240" w:lineRule="auto"/>
        <w:jc w:val="right"/>
        <w:rPr>
          <w:rFonts w:asciiTheme="majorBidi" w:eastAsia="Times New Roman" w:hAnsiTheme="majorBidi" w:cstheme="majorBidi"/>
          <w:bCs/>
          <w:i/>
          <w:sz w:val="20"/>
          <w:szCs w:val="20"/>
          <w:lang w:val="en-IN"/>
        </w:rPr>
      </w:pPr>
      <w:r w:rsidRPr="001C6BC5">
        <w:rPr>
          <w:rFonts w:asciiTheme="majorBidi" w:eastAsia="Times New Roman" w:hAnsiTheme="majorBidi" w:cstheme="majorBidi"/>
          <w:bCs/>
          <w:i/>
          <w:sz w:val="20"/>
          <w:szCs w:val="20"/>
          <w:vertAlign w:val="superscript"/>
        </w:rPr>
        <w:t xml:space="preserve">a </w:t>
      </w:r>
      <w:r w:rsidR="00A25153" w:rsidRPr="001C6BC5">
        <w:rPr>
          <w:rFonts w:asciiTheme="majorBidi" w:eastAsia="Times New Roman" w:hAnsiTheme="majorBidi" w:cstheme="majorBidi"/>
          <w:bCs/>
          <w:i/>
          <w:sz w:val="20"/>
          <w:szCs w:val="20"/>
        </w:rPr>
        <w:t xml:space="preserve">Department of </w:t>
      </w:r>
      <w:r w:rsidRPr="001C6BC5">
        <w:rPr>
          <w:rFonts w:asciiTheme="majorBidi" w:eastAsia="Times New Roman" w:hAnsiTheme="majorBidi" w:cstheme="majorBidi"/>
          <w:bCs/>
          <w:i/>
          <w:sz w:val="20"/>
          <w:szCs w:val="20"/>
        </w:rPr>
        <w:t>Pharmacy Practice</w:t>
      </w:r>
      <w:r w:rsidR="00A25153" w:rsidRPr="001C6BC5">
        <w:rPr>
          <w:rFonts w:asciiTheme="majorBidi" w:eastAsia="Times New Roman" w:hAnsiTheme="majorBidi" w:cstheme="majorBidi"/>
          <w:bCs/>
          <w:i/>
          <w:sz w:val="20"/>
          <w:szCs w:val="20"/>
        </w:rPr>
        <w:t xml:space="preserve">, </w:t>
      </w:r>
      <w:proofErr w:type="spellStart"/>
      <w:r w:rsidRPr="001C6BC5">
        <w:rPr>
          <w:rFonts w:asciiTheme="majorBidi" w:eastAsia="Times New Roman" w:hAnsiTheme="majorBidi" w:cstheme="majorBidi"/>
          <w:bCs/>
          <w:i/>
          <w:sz w:val="20"/>
          <w:szCs w:val="20"/>
        </w:rPr>
        <w:t>Krupanidhi</w:t>
      </w:r>
      <w:proofErr w:type="spellEnd"/>
      <w:r w:rsidRPr="001C6BC5">
        <w:rPr>
          <w:rFonts w:asciiTheme="majorBidi" w:eastAsia="Times New Roman" w:hAnsiTheme="majorBidi" w:cstheme="majorBidi"/>
          <w:bCs/>
          <w:i/>
          <w:sz w:val="20"/>
          <w:szCs w:val="20"/>
        </w:rPr>
        <w:t xml:space="preserve"> College </w:t>
      </w:r>
      <w:r w:rsidR="00A25153" w:rsidRPr="001C6BC5">
        <w:rPr>
          <w:rFonts w:asciiTheme="majorBidi" w:eastAsia="Times New Roman" w:hAnsiTheme="majorBidi" w:cstheme="majorBidi"/>
          <w:bCs/>
          <w:i/>
          <w:sz w:val="20"/>
          <w:szCs w:val="20"/>
        </w:rPr>
        <w:t xml:space="preserve">of </w:t>
      </w:r>
      <w:r w:rsidRPr="001C6BC5">
        <w:rPr>
          <w:rFonts w:asciiTheme="majorBidi" w:eastAsia="Times New Roman" w:hAnsiTheme="majorBidi" w:cstheme="majorBidi"/>
          <w:bCs/>
          <w:i/>
          <w:sz w:val="20"/>
          <w:szCs w:val="20"/>
        </w:rPr>
        <w:t>Pharmacy</w:t>
      </w:r>
      <w:r w:rsidR="00A25153" w:rsidRPr="001C6BC5">
        <w:rPr>
          <w:rFonts w:asciiTheme="majorBidi" w:eastAsia="Times New Roman" w:hAnsiTheme="majorBidi" w:cstheme="majorBidi"/>
          <w:bCs/>
          <w:i/>
          <w:sz w:val="20"/>
          <w:szCs w:val="20"/>
        </w:rPr>
        <w:t>, Bengaluru-560035, India.</w:t>
      </w:r>
    </w:p>
    <w:p w14:paraId="44639B0E" w14:textId="77777777" w:rsidR="00D851AD" w:rsidRPr="001C6BC5" w:rsidRDefault="00D851AD" w:rsidP="00F219A5">
      <w:pPr>
        <w:spacing w:after="0" w:line="240" w:lineRule="auto"/>
        <w:jc w:val="right"/>
        <w:rPr>
          <w:rFonts w:asciiTheme="majorBidi" w:eastAsia="Times New Roman" w:hAnsiTheme="majorBidi" w:cstheme="majorBidi"/>
          <w:i/>
          <w:sz w:val="20"/>
          <w:szCs w:val="20"/>
        </w:rPr>
      </w:pPr>
    </w:p>
    <w:p w14:paraId="3C403D94" w14:textId="3AE045E5" w:rsidR="00A324F0" w:rsidRPr="001C6BC5" w:rsidRDefault="00A324F0" w:rsidP="00F219A5">
      <w:pPr>
        <w:spacing w:after="0" w:line="240" w:lineRule="auto"/>
        <w:jc w:val="right"/>
        <w:rPr>
          <w:rFonts w:asciiTheme="majorBidi" w:eastAsia="Times New Roman" w:hAnsiTheme="majorBidi" w:cstheme="majorBidi"/>
          <w:b/>
          <w:i/>
          <w:color w:val="FF0000"/>
          <w:sz w:val="20"/>
          <w:szCs w:val="20"/>
        </w:rPr>
      </w:pPr>
      <w:r w:rsidRPr="001C6BC5">
        <w:rPr>
          <w:rFonts w:asciiTheme="majorBidi" w:eastAsia="Times New Roman" w:hAnsiTheme="majorBidi" w:cstheme="majorBidi"/>
          <w:b/>
          <w:i/>
          <w:sz w:val="20"/>
          <w:szCs w:val="20"/>
        </w:rPr>
        <w:t>Authors’ contributions</w:t>
      </w:r>
    </w:p>
    <w:p w14:paraId="07873A46" w14:textId="77777777" w:rsidR="00D851AD" w:rsidRPr="001C6BC5" w:rsidRDefault="00D851AD" w:rsidP="00F219A5">
      <w:pPr>
        <w:spacing w:after="0" w:line="240" w:lineRule="auto"/>
        <w:jc w:val="right"/>
        <w:rPr>
          <w:rFonts w:asciiTheme="majorBidi" w:eastAsia="Times New Roman" w:hAnsiTheme="majorBidi" w:cstheme="majorBidi"/>
          <w:b/>
          <w:i/>
          <w:sz w:val="20"/>
          <w:szCs w:val="20"/>
        </w:rPr>
      </w:pPr>
    </w:p>
    <w:p w14:paraId="69D34B4C" w14:textId="7CFBBF42" w:rsidR="000C32DE" w:rsidRPr="001C6BC5" w:rsidRDefault="00C44FD6" w:rsidP="00F219A5">
      <w:pPr>
        <w:spacing w:after="0" w:line="240" w:lineRule="auto"/>
        <w:jc w:val="right"/>
        <w:rPr>
          <w:rFonts w:asciiTheme="majorBidi" w:eastAsia="Times New Roman" w:hAnsiTheme="majorBidi" w:cstheme="majorBidi"/>
          <w:i/>
          <w:sz w:val="20"/>
          <w:szCs w:val="20"/>
        </w:rPr>
      </w:pPr>
      <w:r w:rsidRPr="00C44FD6">
        <w:rPr>
          <w:rFonts w:asciiTheme="majorBidi" w:eastAsia="Times New Roman" w:hAnsiTheme="majorBidi" w:cstheme="majorBidi"/>
          <w:i/>
          <w:sz w:val="20"/>
          <w:szCs w:val="20"/>
        </w:rPr>
        <w:t xml:space="preserve">This work was carried out in collaboration among all authors. </w:t>
      </w:r>
      <w:r>
        <w:rPr>
          <w:rFonts w:asciiTheme="majorBidi" w:eastAsia="Times New Roman" w:hAnsiTheme="majorBidi" w:cstheme="majorBidi"/>
          <w:i/>
          <w:sz w:val="20"/>
          <w:szCs w:val="20"/>
        </w:rPr>
        <w:t>Author KSS</w:t>
      </w:r>
      <w:r w:rsidR="005555DB" w:rsidRPr="005555DB">
        <w:rPr>
          <w:rFonts w:asciiTheme="majorBidi" w:eastAsia="Times New Roman" w:hAnsiTheme="majorBidi" w:cstheme="majorBidi"/>
          <w:i/>
          <w:sz w:val="20"/>
          <w:szCs w:val="20"/>
        </w:rPr>
        <w:t xml:space="preserve"> conceived the concept of the study. </w:t>
      </w:r>
      <w:r>
        <w:rPr>
          <w:rFonts w:asciiTheme="majorBidi" w:eastAsia="Times New Roman" w:hAnsiTheme="majorBidi" w:cstheme="majorBidi"/>
          <w:i/>
          <w:sz w:val="20"/>
          <w:szCs w:val="20"/>
        </w:rPr>
        <w:t>Author AD</w:t>
      </w:r>
      <w:r w:rsidR="005555DB" w:rsidRPr="005555DB">
        <w:rPr>
          <w:rFonts w:asciiTheme="majorBidi" w:eastAsia="Times New Roman" w:hAnsiTheme="majorBidi" w:cstheme="majorBidi"/>
          <w:i/>
          <w:sz w:val="20"/>
          <w:szCs w:val="20"/>
        </w:rPr>
        <w:t xml:space="preserve"> contributed to manuscript drafting, editing, and revision. Both authors read and approved the final manuscript.</w:t>
      </w:r>
    </w:p>
    <w:p w14:paraId="69FC8177" w14:textId="77777777" w:rsidR="00D851AD" w:rsidRPr="001C6BC5" w:rsidRDefault="00D851AD" w:rsidP="00F219A5">
      <w:pPr>
        <w:spacing w:after="0" w:line="240" w:lineRule="auto"/>
        <w:jc w:val="right"/>
        <w:rPr>
          <w:rFonts w:asciiTheme="majorBidi" w:eastAsia="Times New Roman" w:hAnsiTheme="majorBidi" w:cstheme="majorBidi"/>
          <w:sz w:val="20"/>
          <w:szCs w:val="20"/>
        </w:rPr>
      </w:pPr>
    </w:p>
    <w:p w14:paraId="420EE0A9" w14:textId="77777777" w:rsidR="00330218" w:rsidRPr="001C6BC5" w:rsidRDefault="00330218" w:rsidP="00F219A5">
      <w:pPr>
        <w:spacing w:after="0" w:line="240" w:lineRule="auto"/>
        <w:jc w:val="right"/>
        <w:rPr>
          <w:rFonts w:asciiTheme="majorBidi" w:hAnsiTheme="majorBidi" w:cstheme="majorBidi"/>
          <w:b/>
          <w:i/>
          <w:sz w:val="20"/>
          <w:szCs w:val="20"/>
        </w:rPr>
      </w:pPr>
      <w:r w:rsidRPr="001C6BC5">
        <w:rPr>
          <w:rFonts w:asciiTheme="majorBidi" w:hAnsiTheme="majorBidi" w:cstheme="majorBidi"/>
          <w:b/>
          <w:i/>
          <w:sz w:val="20"/>
          <w:szCs w:val="20"/>
        </w:rPr>
        <w:t>Article Information</w:t>
      </w:r>
    </w:p>
    <w:p w14:paraId="4FCD7E2C" w14:textId="77777777" w:rsidR="00330218" w:rsidRPr="001C6BC5" w:rsidRDefault="00330218" w:rsidP="00F219A5">
      <w:pPr>
        <w:spacing w:after="0" w:line="240" w:lineRule="auto"/>
        <w:jc w:val="right"/>
        <w:rPr>
          <w:rFonts w:asciiTheme="majorBidi" w:hAnsiTheme="majorBidi" w:cstheme="majorBidi"/>
          <w:b/>
          <w:i/>
          <w:sz w:val="16"/>
          <w:szCs w:val="20"/>
        </w:rPr>
      </w:pPr>
    </w:p>
    <w:p w14:paraId="10B7E61E" w14:textId="332039A2" w:rsidR="007B23B8" w:rsidRPr="001C6BC5" w:rsidRDefault="007B23B8" w:rsidP="00F219A5">
      <w:pPr>
        <w:spacing w:after="0" w:line="240" w:lineRule="auto"/>
        <w:jc w:val="right"/>
        <w:rPr>
          <w:rFonts w:asciiTheme="majorBidi" w:eastAsia="Times New Roman" w:hAnsiTheme="majorBidi" w:cstheme="majorBidi"/>
          <w:sz w:val="16"/>
          <w:szCs w:val="16"/>
        </w:rPr>
      </w:pPr>
      <w:r w:rsidRPr="001C6BC5">
        <w:rPr>
          <w:rFonts w:asciiTheme="majorBidi" w:eastAsia="Times New Roman" w:hAnsiTheme="majorBidi" w:cstheme="majorBidi"/>
          <w:sz w:val="16"/>
          <w:szCs w:val="16"/>
        </w:rPr>
        <w:t xml:space="preserve">DOI: </w:t>
      </w:r>
      <w:hyperlink r:id="rId9" w:history="1">
        <w:r w:rsidR="00491E06" w:rsidRPr="00491E06">
          <w:rPr>
            <w:rStyle w:val="Hyperlink"/>
            <w:rFonts w:asciiTheme="majorBidi" w:eastAsia="Times New Roman" w:hAnsiTheme="majorBidi" w:cstheme="majorBidi"/>
            <w:sz w:val="16"/>
            <w:szCs w:val="16"/>
            <w:u w:val="none"/>
          </w:rPr>
          <w:t>https://doi.org/10.56557/ajoaims/2026/v8i1177</w:t>
        </w:r>
      </w:hyperlink>
      <w:r w:rsidR="00491E06">
        <w:rPr>
          <w:rFonts w:asciiTheme="majorBidi" w:eastAsia="Times New Roman" w:hAnsiTheme="majorBidi" w:cstheme="majorBidi"/>
          <w:sz w:val="16"/>
          <w:szCs w:val="16"/>
        </w:rPr>
        <w:t xml:space="preserve"> </w:t>
      </w:r>
    </w:p>
    <w:p w14:paraId="5D4E5F35" w14:textId="77777777" w:rsidR="007B23B8" w:rsidRPr="001C6BC5" w:rsidRDefault="007B23B8" w:rsidP="00F219A5">
      <w:pPr>
        <w:spacing w:after="0" w:line="240" w:lineRule="auto"/>
        <w:jc w:val="right"/>
        <w:rPr>
          <w:rFonts w:asciiTheme="majorBidi" w:hAnsiTheme="majorBidi" w:cstheme="majorBidi"/>
          <w:b/>
          <w:i/>
          <w:sz w:val="16"/>
          <w:szCs w:val="20"/>
        </w:rPr>
      </w:pPr>
    </w:p>
    <w:p w14:paraId="196E4277" w14:textId="77777777" w:rsidR="00330218" w:rsidRPr="001C6BC5" w:rsidRDefault="00330218" w:rsidP="00F219A5">
      <w:pPr>
        <w:spacing w:after="0" w:line="240" w:lineRule="auto"/>
        <w:jc w:val="right"/>
        <w:rPr>
          <w:rFonts w:asciiTheme="majorBidi" w:eastAsia="Times New Roman" w:hAnsiTheme="majorBidi" w:cstheme="majorBidi"/>
          <w:b/>
          <w:sz w:val="16"/>
          <w:szCs w:val="16"/>
        </w:rPr>
      </w:pPr>
      <w:r w:rsidRPr="001C6BC5">
        <w:rPr>
          <w:rFonts w:asciiTheme="majorBidi" w:eastAsia="Times New Roman" w:hAnsiTheme="majorBidi" w:cstheme="majorBidi"/>
          <w:b/>
          <w:sz w:val="16"/>
          <w:szCs w:val="16"/>
        </w:rPr>
        <w:t>Open Peer Review History:</w:t>
      </w:r>
    </w:p>
    <w:p w14:paraId="33A4BA3C" w14:textId="34104B8C" w:rsidR="00330218" w:rsidRPr="00CA6BF1" w:rsidRDefault="00330218" w:rsidP="00F219A5">
      <w:pPr>
        <w:spacing w:after="0" w:line="240" w:lineRule="auto"/>
        <w:jc w:val="right"/>
        <w:rPr>
          <w:rFonts w:asciiTheme="majorBidi" w:eastAsia="Times New Roman" w:hAnsiTheme="majorBidi" w:cstheme="majorBidi"/>
          <w:sz w:val="14"/>
          <w:szCs w:val="14"/>
        </w:rPr>
      </w:pPr>
      <w:r w:rsidRPr="00CA6BF1">
        <w:rPr>
          <w:rFonts w:asciiTheme="majorBidi" w:eastAsia="Times New Roman" w:hAnsiTheme="majorBidi" w:cstheme="majorBidi"/>
          <w:sz w:val="14"/>
          <w:szCs w:val="14"/>
        </w:rPr>
        <w:t xml:space="preserve">This journal follows the Advanced Open Peer Review policy. Identity of the Reviewers, Editor(s) and additional Reviewers, peer review comments, different versions of the manuscript, comments of the editors, </w:t>
      </w:r>
      <w:proofErr w:type="spellStart"/>
      <w:r w:rsidRPr="00CA6BF1">
        <w:rPr>
          <w:rFonts w:asciiTheme="majorBidi" w:eastAsia="Times New Roman" w:hAnsiTheme="majorBidi" w:cstheme="majorBidi"/>
          <w:sz w:val="14"/>
          <w:szCs w:val="14"/>
        </w:rPr>
        <w:t>etc</w:t>
      </w:r>
      <w:proofErr w:type="spellEnd"/>
      <w:r w:rsidRPr="00CA6BF1">
        <w:rPr>
          <w:rFonts w:asciiTheme="majorBidi" w:eastAsia="Times New Roman" w:hAnsiTheme="majorBidi" w:cstheme="majorBidi"/>
          <w:sz w:val="14"/>
          <w:szCs w:val="14"/>
        </w:rPr>
        <w:t xml:space="preserve"> are available here:</w:t>
      </w:r>
      <w:r w:rsidR="00CA6BF1">
        <w:rPr>
          <w:rFonts w:asciiTheme="majorBidi" w:eastAsia="Times New Roman" w:hAnsiTheme="majorBidi" w:cstheme="majorBidi"/>
          <w:sz w:val="14"/>
          <w:szCs w:val="14"/>
        </w:rPr>
        <w:t xml:space="preserve"> </w:t>
      </w:r>
      <w:hyperlink r:id="rId10" w:history="1">
        <w:r w:rsidR="00491E06" w:rsidRPr="00CA6BF1">
          <w:rPr>
            <w:rStyle w:val="Hyperlink"/>
            <w:rFonts w:asciiTheme="majorBidi" w:eastAsia="Times New Roman" w:hAnsiTheme="majorBidi" w:cstheme="majorBidi"/>
            <w:sz w:val="14"/>
            <w:szCs w:val="14"/>
            <w:u w:val="none"/>
          </w:rPr>
          <w:t>https://prh.mbimph.com/review-history/5995</w:t>
        </w:r>
      </w:hyperlink>
      <w:r w:rsidR="00491E06" w:rsidRPr="00CA6BF1">
        <w:rPr>
          <w:rFonts w:asciiTheme="majorBidi" w:eastAsia="Times New Roman" w:hAnsiTheme="majorBidi" w:cstheme="majorBidi"/>
          <w:sz w:val="14"/>
          <w:szCs w:val="14"/>
        </w:rPr>
        <w:t xml:space="preserve"> </w:t>
      </w:r>
    </w:p>
    <w:p w14:paraId="16FFB0CA" w14:textId="77777777" w:rsidR="00D851AD" w:rsidRPr="001C6BC5" w:rsidRDefault="00D851AD" w:rsidP="00F219A5">
      <w:pPr>
        <w:spacing w:after="0" w:line="240" w:lineRule="auto"/>
        <w:jc w:val="right"/>
        <w:rPr>
          <w:rFonts w:asciiTheme="majorBidi" w:eastAsia="Times New Roman" w:hAnsiTheme="majorBidi" w:cstheme="majorBidi"/>
          <w:sz w:val="20"/>
          <w:szCs w:val="20"/>
        </w:rPr>
      </w:pPr>
    </w:p>
    <w:p w14:paraId="6A2DE0D7" w14:textId="77777777" w:rsidR="00BD060A" w:rsidRPr="001C6BC5" w:rsidRDefault="00BD060A" w:rsidP="00F219A5">
      <w:pPr>
        <w:spacing w:after="0" w:line="240" w:lineRule="auto"/>
        <w:jc w:val="right"/>
        <w:rPr>
          <w:rFonts w:asciiTheme="majorBidi" w:eastAsia="Times New Roman" w:hAnsiTheme="majorBidi" w:cstheme="majorBidi"/>
          <w:bCs/>
          <w:iCs/>
          <w:sz w:val="20"/>
          <w:szCs w:val="20"/>
        </w:rPr>
      </w:pPr>
    </w:p>
    <w:p w14:paraId="7D177F6E" w14:textId="2F685A7E" w:rsidR="00BD060A" w:rsidRDefault="00897A62" w:rsidP="00F219A5">
      <w:pPr>
        <w:autoSpaceDE w:val="0"/>
        <w:autoSpaceDN w:val="0"/>
        <w:adjustRightInd w:val="0"/>
        <w:spacing w:after="0" w:line="240" w:lineRule="auto"/>
        <w:jc w:val="right"/>
        <w:rPr>
          <w:rFonts w:asciiTheme="majorBidi" w:eastAsia="Times New Roman" w:hAnsiTheme="majorBidi" w:cstheme="majorBidi"/>
          <w:b/>
          <w:i/>
          <w:sz w:val="20"/>
          <w:szCs w:val="16"/>
        </w:rPr>
      </w:pPr>
      <w:r>
        <w:rPr>
          <w:rFonts w:asciiTheme="majorBidi" w:eastAsia="Times New Roman" w:hAnsiTheme="majorBidi" w:cstheme="majorBidi"/>
          <w:b/>
          <w:i/>
          <w:noProof/>
          <w:sz w:val="20"/>
          <w:szCs w:val="20"/>
        </w:rPr>
        <w:pict w14:anchorId="6FFE350D">
          <v:rect id="_x0000_s2077" style="position:absolute;left:0;text-align:left;margin-left:-.65pt;margin-top:512.75pt;width:80.5pt;height:18.65pt;z-index:251666432;mso-position-vertical:absolute;mso-position-vertical-relative:page">
            <v:textbox style="mso-next-textbox:#_x0000_s2077" inset=",2.16pt,,2.16pt">
              <w:txbxContent>
                <w:p w14:paraId="1371C3F5" w14:textId="43ADB5CE" w:rsidR="00682F1A" w:rsidRPr="00B90097" w:rsidRDefault="00A25153" w:rsidP="00682F1A">
                  <w:pPr>
                    <w:jc w:val="center"/>
                    <w:rPr>
                      <w:rFonts w:ascii="Times New Roman" w:hAnsi="Times New Roman" w:cs="Times New Roman"/>
                      <w:b/>
                      <w:i/>
                      <w:sz w:val="20"/>
                    </w:rPr>
                  </w:pPr>
                  <w:r w:rsidRPr="00A25153">
                    <w:rPr>
                      <w:rFonts w:ascii="Times New Roman" w:hAnsi="Times New Roman" w:cs="Times New Roman"/>
                      <w:b/>
                      <w:i/>
                      <w:sz w:val="20"/>
                    </w:rPr>
                    <w:t>Review Article</w:t>
                  </w:r>
                </w:p>
              </w:txbxContent>
            </v:textbox>
            <w10:wrap anchory="page"/>
          </v:rect>
        </w:pict>
      </w:r>
      <w:r w:rsidR="00BD060A" w:rsidRPr="001C6BC5">
        <w:rPr>
          <w:rFonts w:asciiTheme="majorBidi" w:eastAsia="Times New Roman" w:hAnsiTheme="majorBidi" w:cstheme="majorBidi"/>
          <w:b/>
          <w:i/>
          <w:sz w:val="20"/>
          <w:szCs w:val="16"/>
        </w:rPr>
        <w:t>Received</w:t>
      </w:r>
      <w:r w:rsidR="00DE494D" w:rsidRPr="001C6BC5">
        <w:rPr>
          <w:rFonts w:asciiTheme="majorBidi" w:eastAsia="Times New Roman" w:hAnsiTheme="majorBidi" w:cstheme="majorBidi"/>
          <w:b/>
          <w:i/>
          <w:sz w:val="20"/>
          <w:szCs w:val="16"/>
        </w:rPr>
        <w:t>:</w:t>
      </w:r>
      <w:r w:rsidR="00BD060A" w:rsidRPr="001C6BC5">
        <w:rPr>
          <w:rFonts w:asciiTheme="majorBidi" w:eastAsia="Times New Roman" w:hAnsiTheme="majorBidi" w:cstheme="majorBidi"/>
          <w:b/>
          <w:i/>
          <w:sz w:val="20"/>
          <w:szCs w:val="16"/>
        </w:rPr>
        <w:t xml:space="preserve"> </w:t>
      </w:r>
      <w:r w:rsidR="00491E06">
        <w:rPr>
          <w:rFonts w:asciiTheme="majorBidi" w:eastAsia="Times New Roman" w:hAnsiTheme="majorBidi" w:cstheme="majorBidi"/>
          <w:b/>
          <w:i/>
          <w:sz w:val="20"/>
          <w:szCs w:val="16"/>
        </w:rPr>
        <w:t>08/03/2026</w:t>
      </w:r>
    </w:p>
    <w:p w14:paraId="121C4E1F" w14:textId="04C2D111" w:rsidR="00CA6BF1" w:rsidRPr="001C6BC5" w:rsidRDefault="00CA6BF1" w:rsidP="00F219A5">
      <w:pPr>
        <w:autoSpaceDE w:val="0"/>
        <w:autoSpaceDN w:val="0"/>
        <w:adjustRightInd w:val="0"/>
        <w:spacing w:after="0" w:line="240" w:lineRule="auto"/>
        <w:jc w:val="right"/>
        <w:rPr>
          <w:rFonts w:asciiTheme="majorBidi" w:eastAsia="Times New Roman" w:hAnsiTheme="majorBidi" w:cstheme="majorBidi"/>
          <w:b/>
          <w:i/>
          <w:sz w:val="20"/>
          <w:szCs w:val="16"/>
        </w:rPr>
      </w:pPr>
      <w:r w:rsidRPr="00CA6BF1">
        <w:rPr>
          <w:rFonts w:asciiTheme="majorBidi" w:eastAsia="Times New Roman" w:hAnsiTheme="majorBidi" w:cstheme="majorBidi"/>
          <w:b/>
          <w:i/>
          <w:sz w:val="20"/>
          <w:szCs w:val="16"/>
        </w:rPr>
        <w:t>Accepted: 03/05/2026</w:t>
      </w:r>
    </w:p>
    <w:p w14:paraId="236D225A" w14:textId="6CF114D8" w:rsidR="00BD060A" w:rsidRPr="001C6BC5" w:rsidRDefault="00BD060A" w:rsidP="00F219A5">
      <w:pPr>
        <w:autoSpaceDE w:val="0"/>
        <w:autoSpaceDN w:val="0"/>
        <w:adjustRightInd w:val="0"/>
        <w:spacing w:after="0" w:line="240" w:lineRule="auto"/>
        <w:jc w:val="right"/>
        <w:rPr>
          <w:rFonts w:asciiTheme="majorBidi" w:eastAsia="Times New Roman" w:hAnsiTheme="majorBidi" w:cstheme="majorBidi"/>
          <w:sz w:val="20"/>
          <w:szCs w:val="20"/>
        </w:rPr>
      </w:pPr>
      <w:r w:rsidRPr="001C6BC5">
        <w:rPr>
          <w:rFonts w:asciiTheme="majorBidi" w:eastAsia="Times New Roman" w:hAnsiTheme="majorBidi" w:cstheme="majorBidi"/>
          <w:b/>
          <w:i/>
          <w:sz w:val="20"/>
          <w:szCs w:val="16"/>
        </w:rPr>
        <w:t>Published</w:t>
      </w:r>
      <w:r w:rsidR="00DE494D" w:rsidRPr="001C6BC5">
        <w:rPr>
          <w:rFonts w:asciiTheme="majorBidi" w:eastAsia="Times New Roman" w:hAnsiTheme="majorBidi" w:cstheme="majorBidi"/>
          <w:b/>
          <w:i/>
          <w:sz w:val="20"/>
          <w:szCs w:val="16"/>
        </w:rPr>
        <w:t>:</w:t>
      </w:r>
      <w:r w:rsidRPr="001C6BC5">
        <w:rPr>
          <w:rFonts w:asciiTheme="majorBidi" w:eastAsia="Times New Roman" w:hAnsiTheme="majorBidi" w:cstheme="majorBidi"/>
          <w:b/>
          <w:i/>
          <w:sz w:val="20"/>
          <w:szCs w:val="16"/>
        </w:rPr>
        <w:t xml:space="preserve"> </w:t>
      </w:r>
      <w:r w:rsidR="00491E06">
        <w:rPr>
          <w:rFonts w:asciiTheme="majorBidi" w:eastAsia="Times New Roman" w:hAnsiTheme="majorBidi" w:cstheme="majorBidi"/>
          <w:b/>
          <w:i/>
          <w:sz w:val="20"/>
          <w:szCs w:val="16"/>
        </w:rPr>
        <w:t>09/05/2026</w:t>
      </w:r>
    </w:p>
    <w:p w14:paraId="2CCBA991" w14:textId="77777777" w:rsidR="00BD060A" w:rsidRPr="001C6BC5" w:rsidRDefault="00897A62" w:rsidP="00F219A5">
      <w:pPr>
        <w:spacing w:after="0" w:line="240" w:lineRule="auto"/>
        <w:rPr>
          <w:rFonts w:asciiTheme="majorBidi" w:eastAsia="Times New Roman" w:hAnsiTheme="majorBidi" w:cstheme="majorBidi"/>
          <w:b/>
          <w:caps/>
          <w:sz w:val="24"/>
          <w:szCs w:val="20"/>
        </w:rPr>
      </w:pPr>
      <w:r>
        <w:rPr>
          <w:rFonts w:asciiTheme="majorBidi" w:eastAsia="Times New Roman" w:hAnsiTheme="majorBidi" w:cstheme="majorBidi"/>
          <w:b/>
          <w:caps/>
          <w:sz w:val="24"/>
          <w:szCs w:val="20"/>
        </w:rPr>
      </w:r>
      <w:r>
        <w:rPr>
          <w:rFonts w:asciiTheme="majorBidi" w:eastAsia="Times New Roman" w:hAnsiTheme="majorBidi" w:cstheme="majorBidi"/>
          <w:b/>
          <w:caps/>
          <w:sz w:val="24"/>
          <w:szCs w:val="20"/>
        </w:rPr>
        <w:pict w14:anchorId="4B32203A">
          <v:shapetype id="_x0000_t32" coordsize="21600,21600" o:spt="32" o:oned="t" path="m,l21600,21600e" filled="f">
            <v:path arrowok="t" fillok="f" o:connecttype="none"/>
            <o:lock v:ext="edit" shapetype="t"/>
          </v:shapetype>
          <v:shape id="_x0000_s2079" type="#_x0000_t32" style="width:450.7pt;height:0;mso-left-percent:-10001;mso-top-percent:-10001;mso-position-horizontal:absolute;mso-position-horizontal-relative:char;mso-position-vertical:absolute;mso-position-vertical-relative:line;mso-left-percent:-10001;mso-top-percent:-10001" o:connectortype="straight" strokeweight="1.5pt">
            <w10:anchorlock/>
          </v:shape>
        </w:pict>
      </w:r>
    </w:p>
    <w:p w14:paraId="1C34F579" w14:textId="77777777" w:rsidR="00BD060A" w:rsidRPr="001C6BC5" w:rsidRDefault="00BD060A" w:rsidP="00F219A5">
      <w:pPr>
        <w:tabs>
          <w:tab w:val="left" w:pos="3870"/>
        </w:tabs>
        <w:spacing w:after="0" w:line="240" w:lineRule="auto"/>
        <w:rPr>
          <w:rFonts w:asciiTheme="majorBidi" w:eastAsia="Times New Roman" w:hAnsiTheme="majorBidi" w:cstheme="majorBidi"/>
          <w:b/>
          <w:caps/>
          <w:sz w:val="20"/>
          <w:szCs w:val="20"/>
        </w:rPr>
      </w:pPr>
    </w:p>
    <w:p w14:paraId="36B9D59C" w14:textId="5359FF50" w:rsidR="00BD060A" w:rsidRPr="001C6BC5" w:rsidRDefault="004818FC" w:rsidP="00F219A5">
      <w:pPr>
        <w:pStyle w:val="Heading2"/>
        <w:keepNext w:val="0"/>
        <w:keepLines w:val="0"/>
        <w:rPr>
          <w:rFonts w:asciiTheme="majorBidi" w:eastAsia="Times New Roman" w:hAnsiTheme="majorBidi"/>
        </w:rPr>
      </w:pPr>
      <w:r w:rsidRPr="001C6BC5">
        <w:rPr>
          <w:rFonts w:asciiTheme="majorBidi" w:eastAsia="Times New Roman" w:hAnsiTheme="majorBidi"/>
        </w:rPr>
        <w:t>Abstract</w:t>
      </w:r>
    </w:p>
    <w:p w14:paraId="1244936C" w14:textId="77777777" w:rsidR="00BD060A" w:rsidRPr="001C6BC5" w:rsidRDefault="00BD060A" w:rsidP="00F219A5">
      <w:pPr>
        <w:spacing w:after="0" w:line="240" w:lineRule="auto"/>
        <w:rPr>
          <w:rFonts w:asciiTheme="majorBidi" w:eastAsia="Times New Roman" w:hAnsiTheme="majorBidi" w:cstheme="majorBidi"/>
          <w:b/>
          <w:caps/>
          <w:sz w:val="20"/>
          <w:szCs w:val="20"/>
        </w:rPr>
      </w:pPr>
    </w:p>
    <w:tbl>
      <w:tblPr>
        <w:tblStyle w:val="TableGrid"/>
        <w:tblW w:w="4900" w:type="pct"/>
        <w:jc w:val="center"/>
        <w:tblLayout w:type="fixed"/>
        <w:tblLook w:val="04A0" w:firstRow="1" w:lastRow="0" w:firstColumn="1" w:lastColumn="0" w:noHBand="0" w:noVBand="1"/>
      </w:tblPr>
      <w:tblGrid>
        <w:gridCol w:w="9060"/>
      </w:tblGrid>
      <w:tr w:rsidR="00BD060A" w:rsidRPr="001C6BC5" w14:paraId="75038942" w14:textId="77777777" w:rsidTr="00AB0D5D">
        <w:trPr>
          <w:trHeight w:val="20"/>
          <w:jc w:val="center"/>
        </w:trPr>
        <w:tc>
          <w:tcPr>
            <w:tcW w:w="9040" w:type="dxa"/>
          </w:tcPr>
          <w:p w14:paraId="2C01EA56" w14:textId="77777777" w:rsidR="00A070D3" w:rsidRPr="001C6BC5" w:rsidRDefault="00A070D3" w:rsidP="00F219A5">
            <w:pPr>
              <w:jc w:val="both"/>
              <w:rPr>
                <w:rFonts w:asciiTheme="majorBidi" w:eastAsia="Calibri" w:hAnsiTheme="majorBidi" w:cstheme="majorBidi"/>
                <w:sz w:val="20"/>
              </w:rPr>
            </w:pPr>
            <w:r w:rsidRPr="001C6BC5">
              <w:rPr>
                <w:rFonts w:asciiTheme="majorBidi" w:eastAsia="Calibri" w:hAnsiTheme="majorBidi" w:cstheme="majorBidi"/>
                <w:sz w:val="20"/>
              </w:rPr>
              <w:t>Antimicrobial resistance (AMR) represents a growing global health threat, driven by the widespread misuse of antibiotics and the limitations of current stewardship strategies. Conventional approaches to antimicrobial stewardship rely heavily on empirical prescribing and delayed microbiological confirmation, often resulting in suboptimal antibiotic selection and contributing to acceleration of resistance. In this context, artificial intelligence (AI) has emerged as a promising tool to enhance decision-making through predictive and data-driven approaches.</w:t>
            </w:r>
          </w:p>
          <w:p w14:paraId="6087BB09" w14:textId="77777777" w:rsidR="00A070D3" w:rsidRPr="001C6BC5" w:rsidRDefault="00A070D3" w:rsidP="00F219A5">
            <w:pPr>
              <w:jc w:val="both"/>
              <w:rPr>
                <w:rFonts w:asciiTheme="majorBidi" w:eastAsia="Calibri" w:hAnsiTheme="majorBidi" w:cstheme="majorBidi"/>
                <w:sz w:val="20"/>
              </w:rPr>
            </w:pPr>
            <w:r w:rsidRPr="001C6BC5">
              <w:rPr>
                <w:rFonts w:asciiTheme="majorBidi" w:eastAsia="Calibri" w:hAnsiTheme="majorBidi" w:cstheme="majorBidi"/>
                <w:sz w:val="20"/>
              </w:rPr>
              <w:t xml:space="preserve">This review explores the role of AI in antimicrobial stewardship, with a focus on its application in predicting antimicrobial resistance, guiding antibiotic selection, and supporting clinical decision-making through integrated systems. Machine learning and deep learning models have demonstrated the ability to analyse complex, multidimensional datasets, including electronic health records, microbiological data, genomic </w:t>
            </w:r>
            <w:r w:rsidRPr="001C6BC5">
              <w:rPr>
                <w:rFonts w:asciiTheme="majorBidi" w:eastAsia="Calibri" w:hAnsiTheme="majorBidi" w:cstheme="majorBidi"/>
                <w:sz w:val="20"/>
              </w:rPr>
              <w:lastRenderedPageBreak/>
              <w:t>information, and antibiotic usage patterns, to generate early and accurate predictions. These capabilities enable a shift from reactive to predictive care, particularly in high-risk settings such as intensive care units and sepsis management.</w:t>
            </w:r>
          </w:p>
          <w:p w14:paraId="521F2149" w14:textId="77777777" w:rsidR="00A070D3" w:rsidRPr="001C6BC5" w:rsidRDefault="00A070D3" w:rsidP="00F219A5">
            <w:pPr>
              <w:jc w:val="both"/>
              <w:rPr>
                <w:rFonts w:asciiTheme="majorBidi" w:eastAsia="Calibri" w:hAnsiTheme="majorBidi" w:cstheme="majorBidi"/>
                <w:sz w:val="20"/>
              </w:rPr>
            </w:pPr>
            <w:r w:rsidRPr="001C6BC5">
              <w:rPr>
                <w:rFonts w:asciiTheme="majorBidi" w:eastAsia="Calibri" w:hAnsiTheme="majorBidi" w:cstheme="majorBidi"/>
                <w:sz w:val="20"/>
              </w:rPr>
              <w:t>Despite these advancements, significant challenges remain. Limitations related to data quality, model generalizability, interpretability, and integration into clinical workflows continue to hinder widespread adoption. Additional barriers include clinician trust, infrastructure constraints, and ethical considerations such as data privacy and accountability. These challenges are further amplified in low-resource settings, where digital infrastructure and access to microbiological diagnostics may be limited.</w:t>
            </w:r>
          </w:p>
          <w:p w14:paraId="0F4CBF45" w14:textId="77777777" w:rsidR="00A070D3" w:rsidRPr="001C6BC5" w:rsidRDefault="00A070D3" w:rsidP="00F219A5">
            <w:pPr>
              <w:jc w:val="both"/>
              <w:rPr>
                <w:rFonts w:asciiTheme="majorBidi" w:eastAsia="Calibri" w:hAnsiTheme="majorBidi" w:cstheme="majorBidi"/>
                <w:sz w:val="20"/>
              </w:rPr>
            </w:pPr>
            <w:r w:rsidRPr="001C6BC5">
              <w:rPr>
                <w:rFonts w:asciiTheme="majorBidi" w:eastAsia="Calibri" w:hAnsiTheme="majorBidi" w:cstheme="majorBidi"/>
                <w:sz w:val="20"/>
              </w:rPr>
              <w:t>Future progress will depend on the development of robust datasets, standardized reporting frameworks, and seamless integration of AI tools into healthcare systems. With appropriate validation and implementation, AI has the potential to transform antimicrobial stewardship by enabling more precise, timely, and context-aware antibiotic use. Ultimately, the integration of AI into clinical practice represents a critical step toward addressing the global burden of antimicrobial resistance.</w:t>
            </w:r>
          </w:p>
          <w:p w14:paraId="2FA200C0" w14:textId="77777777" w:rsidR="003F47A0" w:rsidRPr="001C6BC5" w:rsidRDefault="003F47A0" w:rsidP="00F219A5">
            <w:pPr>
              <w:rPr>
                <w:rFonts w:asciiTheme="majorBidi" w:eastAsia="Calibri" w:hAnsiTheme="majorBidi" w:cstheme="majorBidi"/>
                <w:sz w:val="20"/>
              </w:rPr>
            </w:pPr>
          </w:p>
        </w:tc>
      </w:tr>
    </w:tbl>
    <w:p w14:paraId="23B59C12" w14:textId="77777777" w:rsidR="00D851AD" w:rsidRPr="001C6BC5" w:rsidRDefault="00D851AD" w:rsidP="00F219A5">
      <w:pPr>
        <w:spacing w:after="0" w:line="240" w:lineRule="auto"/>
        <w:ind w:left="1080" w:hanging="1080"/>
        <w:jc w:val="both"/>
        <w:rPr>
          <w:rFonts w:asciiTheme="majorBidi" w:eastAsia="Times New Roman" w:hAnsiTheme="majorBidi" w:cstheme="majorBidi"/>
          <w:i/>
          <w:sz w:val="20"/>
          <w:szCs w:val="20"/>
        </w:rPr>
      </w:pPr>
    </w:p>
    <w:p w14:paraId="4499B93D" w14:textId="559CD8E1" w:rsidR="008D1B9A" w:rsidRPr="001C6BC5" w:rsidRDefault="00BD060A" w:rsidP="00F219A5">
      <w:pPr>
        <w:spacing w:after="0" w:line="240" w:lineRule="auto"/>
        <w:ind w:left="1080" w:hanging="1080"/>
        <w:jc w:val="both"/>
        <w:rPr>
          <w:rFonts w:asciiTheme="majorBidi" w:eastAsia="Times New Roman" w:hAnsiTheme="majorBidi" w:cstheme="majorBidi"/>
          <w:bCs/>
          <w:i/>
          <w:iCs/>
          <w:sz w:val="20"/>
          <w:szCs w:val="20"/>
          <w:lang w:val="en-IN"/>
        </w:rPr>
      </w:pPr>
      <w:r w:rsidRPr="001C6BC5">
        <w:rPr>
          <w:rFonts w:asciiTheme="majorBidi" w:eastAsia="Times New Roman" w:hAnsiTheme="majorBidi" w:cstheme="majorBidi"/>
          <w:i/>
          <w:sz w:val="20"/>
          <w:szCs w:val="20"/>
        </w:rPr>
        <w:t>Keywords:</w:t>
      </w:r>
      <w:r w:rsidR="00AB0D5D" w:rsidRPr="001C6BC5">
        <w:rPr>
          <w:rFonts w:asciiTheme="majorBidi" w:eastAsia="Times New Roman" w:hAnsiTheme="majorBidi" w:cstheme="majorBidi"/>
          <w:i/>
          <w:sz w:val="20"/>
          <w:szCs w:val="20"/>
        </w:rPr>
        <w:tab/>
      </w:r>
      <w:r w:rsidR="008D1B9A" w:rsidRPr="001C6BC5">
        <w:rPr>
          <w:rFonts w:asciiTheme="majorBidi" w:eastAsia="Times New Roman" w:hAnsiTheme="majorBidi" w:cstheme="majorBidi"/>
          <w:bCs/>
          <w:i/>
          <w:iCs/>
          <w:sz w:val="20"/>
          <w:szCs w:val="20"/>
          <w:lang w:val="en-IN"/>
        </w:rPr>
        <w:t>Antimicrobial resistance</w:t>
      </w:r>
      <w:r w:rsidR="00AB0D5D" w:rsidRPr="001C6BC5">
        <w:rPr>
          <w:rFonts w:asciiTheme="majorBidi" w:eastAsia="Times New Roman" w:hAnsiTheme="majorBidi" w:cstheme="majorBidi"/>
          <w:i/>
          <w:iCs/>
          <w:sz w:val="20"/>
          <w:szCs w:val="20"/>
          <w:lang w:val="en-IN"/>
        </w:rPr>
        <w:t>;</w:t>
      </w:r>
      <w:r w:rsidR="008D1B9A" w:rsidRPr="001C6BC5">
        <w:rPr>
          <w:rFonts w:asciiTheme="majorBidi" w:eastAsia="Times New Roman" w:hAnsiTheme="majorBidi" w:cstheme="majorBidi"/>
          <w:b/>
          <w:bCs/>
          <w:i/>
          <w:iCs/>
          <w:sz w:val="20"/>
          <w:szCs w:val="20"/>
          <w:lang w:val="en-IN"/>
        </w:rPr>
        <w:t xml:space="preserve"> </w:t>
      </w:r>
      <w:r w:rsidR="00AB0D5D" w:rsidRPr="001C6BC5">
        <w:rPr>
          <w:rFonts w:asciiTheme="majorBidi" w:eastAsia="Times New Roman" w:hAnsiTheme="majorBidi" w:cstheme="majorBidi"/>
          <w:bCs/>
          <w:i/>
          <w:iCs/>
          <w:sz w:val="20"/>
          <w:szCs w:val="20"/>
          <w:lang w:val="en-IN"/>
        </w:rPr>
        <w:t>artificial intelligence; machine learning; antimicrobial stewardship; clinical decision support systems; predictive modelling.</w:t>
      </w:r>
    </w:p>
    <w:p w14:paraId="09311205" w14:textId="58642BF4" w:rsidR="00BD060A" w:rsidRPr="001C6BC5" w:rsidRDefault="00BD060A" w:rsidP="00F219A5">
      <w:pPr>
        <w:spacing w:after="0" w:line="240" w:lineRule="auto"/>
        <w:jc w:val="both"/>
        <w:rPr>
          <w:rFonts w:asciiTheme="majorBidi" w:eastAsia="Times New Roman" w:hAnsiTheme="majorBidi" w:cstheme="majorBidi"/>
          <w:bCs/>
          <w:i/>
          <w:iCs/>
          <w:sz w:val="20"/>
          <w:szCs w:val="20"/>
          <w:lang w:val="en-IN"/>
        </w:rPr>
      </w:pPr>
    </w:p>
    <w:p w14:paraId="435792AD" w14:textId="77777777"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1.  Introduction</w:t>
      </w:r>
    </w:p>
    <w:p w14:paraId="0049C50A" w14:textId="77777777" w:rsidR="00874B08" w:rsidRPr="001C6BC5" w:rsidRDefault="00874B08" w:rsidP="00F219A5">
      <w:pPr>
        <w:spacing w:after="0" w:line="240" w:lineRule="auto"/>
        <w:jc w:val="both"/>
        <w:rPr>
          <w:rFonts w:asciiTheme="majorBidi" w:hAnsiTheme="majorBidi" w:cstheme="majorBidi"/>
          <w:b/>
          <w:bCs/>
          <w:sz w:val="20"/>
          <w:szCs w:val="20"/>
        </w:rPr>
      </w:pPr>
    </w:p>
    <w:p w14:paraId="11A2C021" w14:textId="2221A87F"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1.1 The AMR Crisis</w:t>
      </w:r>
    </w:p>
    <w:p w14:paraId="180F6851" w14:textId="77777777" w:rsidR="00874B08" w:rsidRPr="001C6BC5" w:rsidRDefault="00874B08" w:rsidP="00F219A5">
      <w:pPr>
        <w:spacing w:after="0" w:line="240" w:lineRule="auto"/>
        <w:jc w:val="both"/>
        <w:rPr>
          <w:rFonts w:asciiTheme="majorBidi" w:hAnsiTheme="majorBidi" w:cstheme="majorBidi"/>
          <w:sz w:val="20"/>
          <w:szCs w:val="20"/>
        </w:rPr>
      </w:pPr>
    </w:p>
    <w:p w14:paraId="2BB17E31" w14:textId="0F3D1CF0"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Antimicrobial resistance (AMR) has emerged as one of the most serious threats to global health, particularly affecting the management of bacterial infections., undermining decades of progress in infectious disease management. The increasing prevalence of resistant pathogens has led to higher morbidity, prolonged hospital stays, and a significant rise in mortality rates</w:t>
      </w:r>
      <w:r w:rsidR="004F2526" w:rsidRPr="001C6BC5">
        <w:rPr>
          <w:rFonts w:asciiTheme="majorBidi" w:hAnsiTheme="majorBidi" w:cstheme="majorBidi"/>
          <w:sz w:val="20"/>
          <w:szCs w:val="20"/>
        </w:rPr>
        <w:t xml:space="preserve"> (Antimicrobial Resistance Collaborators, 2022)</w:t>
      </w:r>
      <w:r w:rsidRPr="001C6BC5">
        <w:rPr>
          <w:rFonts w:asciiTheme="majorBidi" w:hAnsiTheme="majorBidi" w:cstheme="majorBidi"/>
          <w:sz w:val="20"/>
          <w:szCs w:val="20"/>
        </w:rPr>
        <w:t>. What were once considered manageable bacterial infections are now, in many cases, becoming difficult or even impossible to treat.</w:t>
      </w:r>
    </w:p>
    <w:p w14:paraId="047068A5" w14:textId="77777777" w:rsidR="00B22CD6" w:rsidRPr="001C6BC5" w:rsidRDefault="00B22CD6" w:rsidP="00F219A5">
      <w:pPr>
        <w:spacing w:after="0" w:line="240" w:lineRule="auto"/>
        <w:jc w:val="both"/>
        <w:rPr>
          <w:rFonts w:asciiTheme="majorBidi" w:hAnsiTheme="majorBidi" w:cstheme="majorBidi"/>
          <w:sz w:val="20"/>
          <w:szCs w:val="20"/>
        </w:rPr>
      </w:pPr>
    </w:p>
    <w:p w14:paraId="5342ED39" w14:textId="3C226CAE"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Beyond clinical outcomes, the economic burden of AMR is substantial. Increased healthcare costs stem from longer hospitalizations, the need for more expensive or toxic second-line therapies, and additional diagnostic interventions </w:t>
      </w:r>
      <w:r w:rsidR="004F2526" w:rsidRPr="001C6BC5">
        <w:rPr>
          <w:rFonts w:asciiTheme="majorBidi" w:hAnsiTheme="majorBidi" w:cstheme="majorBidi"/>
          <w:sz w:val="20"/>
          <w:szCs w:val="20"/>
        </w:rPr>
        <w:t>(O’Neill, 2016).</w:t>
      </w:r>
      <w:r w:rsidRPr="001C6BC5">
        <w:rPr>
          <w:rFonts w:asciiTheme="majorBidi" w:hAnsiTheme="majorBidi" w:cstheme="majorBidi"/>
          <w:sz w:val="20"/>
          <w:szCs w:val="20"/>
        </w:rPr>
        <w:t xml:space="preserve"> These pressures are especially pronounced in low- and middle-income countries, where healthcare resources are already constrained.</w:t>
      </w:r>
    </w:p>
    <w:p w14:paraId="1483175A" w14:textId="77777777" w:rsidR="00B22CD6" w:rsidRPr="001C6BC5" w:rsidRDefault="00B22CD6" w:rsidP="00F219A5">
      <w:pPr>
        <w:spacing w:after="0" w:line="240" w:lineRule="auto"/>
        <w:jc w:val="both"/>
        <w:rPr>
          <w:rFonts w:asciiTheme="majorBidi" w:hAnsiTheme="majorBidi" w:cstheme="majorBidi"/>
          <w:sz w:val="20"/>
          <w:szCs w:val="20"/>
        </w:rPr>
      </w:pPr>
    </w:p>
    <w:p w14:paraId="4993923A" w14:textId="419F6F4D"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A major driver of this crisis is the widespread overuse and misuse of antibiotics. Empirical prescribing, unnecessary antibiotic use for viral infections, incomplete treatment courses, and over-the-counter availability in many regions have accelerated the emergence of resistant strains</w:t>
      </w:r>
      <w:r w:rsidR="004F2526" w:rsidRPr="001C6BC5">
        <w:rPr>
          <w:rFonts w:asciiTheme="majorBidi" w:hAnsiTheme="majorBidi" w:cstheme="majorBidi"/>
          <w:sz w:val="20"/>
          <w:szCs w:val="20"/>
        </w:rPr>
        <w:t xml:space="preserve"> (Ventola, 2015)</w:t>
      </w:r>
      <w:r w:rsidRPr="001C6BC5">
        <w:rPr>
          <w:rFonts w:asciiTheme="majorBidi" w:hAnsiTheme="majorBidi" w:cstheme="majorBidi"/>
          <w:sz w:val="20"/>
          <w:szCs w:val="20"/>
        </w:rPr>
        <w:t>. These factors collectively accelerate the emergence of resistant strains, while the development of new antimicrobial agents has not kept pace, resulting in a progressive reduction in effective treatment options.</w:t>
      </w:r>
    </w:p>
    <w:p w14:paraId="631A8318" w14:textId="77777777" w:rsidR="00B22CD6" w:rsidRPr="001C6BC5" w:rsidRDefault="00B22CD6" w:rsidP="00F219A5">
      <w:pPr>
        <w:spacing w:after="0" w:line="240" w:lineRule="auto"/>
        <w:jc w:val="both"/>
        <w:rPr>
          <w:rFonts w:asciiTheme="majorBidi" w:hAnsiTheme="majorBidi" w:cstheme="majorBidi"/>
          <w:sz w:val="20"/>
          <w:szCs w:val="20"/>
        </w:rPr>
      </w:pPr>
    </w:p>
    <w:p w14:paraId="3D5D91D6" w14:textId="77777777"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1.2 Limits of Current Stewardship</w:t>
      </w:r>
    </w:p>
    <w:p w14:paraId="02AECC2F" w14:textId="77777777" w:rsidR="00B22CD6" w:rsidRPr="001C6BC5" w:rsidRDefault="00B22CD6" w:rsidP="00F219A5">
      <w:pPr>
        <w:spacing w:after="0" w:line="240" w:lineRule="auto"/>
        <w:jc w:val="both"/>
        <w:rPr>
          <w:rFonts w:asciiTheme="majorBidi" w:hAnsiTheme="majorBidi" w:cstheme="majorBidi"/>
          <w:sz w:val="20"/>
          <w:szCs w:val="20"/>
        </w:rPr>
      </w:pPr>
    </w:p>
    <w:p w14:paraId="49B0A59E" w14:textId="0B2417B9"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Antimicrobial stewardship programs (ASPs) were introduced to optimize antibiotic use and slow the progression of resistance. While these programs have shown measurable benefits, their effectiveness is often limited by systemic and practical challenges</w:t>
      </w:r>
      <w:r w:rsidR="004F2526" w:rsidRPr="001C6BC5">
        <w:rPr>
          <w:rFonts w:asciiTheme="majorBidi" w:hAnsiTheme="majorBidi" w:cstheme="majorBidi"/>
          <w:sz w:val="20"/>
          <w:szCs w:val="20"/>
        </w:rPr>
        <w:t xml:space="preserve"> (Dyar et al., 2015)</w:t>
      </w:r>
      <w:r w:rsidRPr="001C6BC5">
        <w:rPr>
          <w:rFonts w:asciiTheme="majorBidi" w:hAnsiTheme="majorBidi" w:cstheme="majorBidi"/>
          <w:sz w:val="20"/>
          <w:szCs w:val="20"/>
        </w:rPr>
        <w:t>.</w:t>
      </w:r>
    </w:p>
    <w:p w14:paraId="398D59B8" w14:textId="77777777" w:rsidR="00B22CD6" w:rsidRPr="001C6BC5" w:rsidRDefault="00B22CD6" w:rsidP="00F219A5">
      <w:pPr>
        <w:spacing w:after="0" w:line="240" w:lineRule="auto"/>
        <w:jc w:val="both"/>
        <w:rPr>
          <w:rFonts w:asciiTheme="majorBidi" w:hAnsiTheme="majorBidi" w:cstheme="majorBidi"/>
          <w:sz w:val="20"/>
          <w:szCs w:val="20"/>
        </w:rPr>
      </w:pPr>
    </w:p>
    <w:p w14:paraId="18CE874D" w14:textId="7988C5FC"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One of the primary issues is reliance on empirical prescribing. In many clinical scenarios, especially in acute care settings, clinicians initiate broad-spectrum antibiotics before definitive microbiological data are available. Although this approach is often necessary in acute clinical scenarios, it increases the risk of inappropriate antibiotic selection and contributes to antimicrobial resistance </w:t>
      </w:r>
      <w:r w:rsidR="004F2526" w:rsidRPr="001C6BC5">
        <w:rPr>
          <w:rFonts w:asciiTheme="majorBidi" w:hAnsiTheme="majorBidi" w:cstheme="majorBidi"/>
          <w:sz w:val="20"/>
          <w:szCs w:val="20"/>
        </w:rPr>
        <w:t>(</w:t>
      </w:r>
      <w:proofErr w:type="spellStart"/>
      <w:r w:rsidR="004F2526" w:rsidRPr="001C6BC5">
        <w:rPr>
          <w:rFonts w:asciiTheme="majorBidi" w:hAnsiTheme="majorBidi" w:cstheme="majorBidi"/>
          <w:sz w:val="20"/>
          <w:szCs w:val="20"/>
        </w:rPr>
        <w:t>Llor</w:t>
      </w:r>
      <w:proofErr w:type="spellEnd"/>
      <w:r w:rsidR="004F2526" w:rsidRPr="001C6BC5">
        <w:rPr>
          <w:rFonts w:asciiTheme="majorBidi" w:hAnsiTheme="majorBidi" w:cstheme="majorBidi"/>
          <w:sz w:val="20"/>
          <w:szCs w:val="20"/>
        </w:rPr>
        <w:t xml:space="preserve"> &amp; Bjerrum, 2014)</w:t>
      </w:r>
      <w:r w:rsidRPr="001C6BC5">
        <w:rPr>
          <w:rFonts w:asciiTheme="majorBidi" w:hAnsiTheme="majorBidi" w:cstheme="majorBidi"/>
          <w:sz w:val="20"/>
          <w:szCs w:val="20"/>
        </w:rPr>
        <w:t xml:space="preserve">. </w:t>
      </w:r>
    </w:p>
    <w:p w14:paraId="69E153FE" w14:textId="77777777" w:rsidR="00B22CD6" w:rsidRPr="001C6BC5" w:rsidRDefault="00B22CD6" w:rsidP="00F219A5">
      <w:pPr>
        <w:spacing w:after="0" w:line="240" w:lineRule="auto"/>
        <w:jc w:val="both"/>
        <w:rPr>
          <w:rFonts w:asciiTheme="majorBidi" w:hAnsiTheme="majorBidi" w:cstheme="majorBidi"/>
          <w:sz w:val="20"/>
          <w:szCs w:val="20"/>
        </w:rPr>
      </w:pPr>
    </w:p>
    <w:p w14:paraId="462953D6" w14:textId="1F4A1633"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Another key limitation is the delay in microbiological diagnostics. Culture and sensitivity testing, considered the gold standard, typically requires 48-72 hours. During this period, treatment decisions are made under uncertainty, often leading to overuse of broad-spectrum agents</w:t>
      </w:r>
      <w:r w:rsidR="004F2526" w:rsidRPr="001C6BC5">
        <w:rPr>
          <w:rFonts w:asciiTheme="majorBidi" w:hAnsiTheme="majorBidi" w:cstheme="majorBidi"/>
          <w:sz w:val="20"/>
          <w:szCs w:val="20"/>
        </w:rPr>
        <w:t xml:space="preserve"> (van </w:t>
      </w:r>
      <w:proofErr w:type="spellStart"/>
      <w:r w:rsidR="004F2526" w:rsidRPr="001C6BC5">
        <w:rPr>
          <w:rFonts w:asciiTheme="majorBidi" w:hAnsiTheme="majorBidi" w:cstheme="majorBidi"/>
          <w:sz w:val="20"/>
          <w:szCs w:val="20"/>
        </w:rPr>
        <w:t>Belkum</w:t>
      </w:r>
      <w:proofErr w:type="spellEnd"/>
      <w:r w:rsidR="004F2526" w:rsidRPr="001C6BC5">
        <w:rPr>
          <w:rFonts w:asciiTheme="majorBidi" w:hAnsiTheme="majorBidi" w:cstheme="majorBidi"/>
          <w:sz w:val="20"/>
          <w:szCs w:val="20"/>
        </w:rPr>
        <w:t xml:space="preserve"> et al., 2013)</w:t>
      </w:r>
      <w:r w:rsidRPr="001C6BC5">
        <w:rPr>
          <w:rFonts w:asciiTheme="majorBidi" w:hAnsiTheme="majorBidi" w:cstheme="majorBidi"/>
          <w:sz w:val="20"/>
          <w:szCs w:val="20"/>
        </w:rPr>
        <w:t>.</w:t>
      </w:r>
    </w:p>
    <w:p w14:paraId="76B0BDDB" w14:textId="77777777" w:rsidR="00B22CD6" w:rsidRPr="001C6BC5" w:rsidRDefault="00B22CD6" w:rsidP="00F219A5">
      <w:pPr>
        <w:spacing w:after="0" w:line="240" w:lineRule="auto"/>
        <w:jc w:val="both"/>
        <w:rPr>
          <w:rFonts w:asciiTheme="majorBidi" w:hAnsiTheme="majorBidi" w:cstheme="majorBidi"/>
          <w:sz w:val="20"/>
          <w:szCs w:val="20"/>
        </w:rPr>
      </w:pPr>
    </w:p>
    <w:p w14:paraId="3A8221CB" w14:textId="5440310F"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Inter-clinician variability further complicates stewardship efforts, as prescribing decisions may differ based on clinical experience, interpretation of patient data, and perceived risk. Clinical judgement can differ significantly </w:t>
      </w:r>
      <w:r w:rsidRPr="001C6BC5">
        <w:rPr>
          <w:rFonts w:asciiTheme="majorBidi" w:hAnsiTheme="majorBidi" w:cstheme="majorBidi"/>
          <w:sz w:val="20"/>
          <w:szCs w:val="20"/>
        </w:rPr>
        <w:lastRenderedPageBreak/>
        <w:t xml:space="preserve">between practitioners, influenced by experience, local resistance patterns, and perceived patient risk. This variability can result in inconsistent prescribing practices, even within the same institution </w:t>
      </w:r>
      <w:r w:rsidR="004F2526" w:rsidRPr="001C6BC5">
        <w:rPr>
          <w:rFonts w:asciiTheme="majorBidi" w:hAnsiTheme="majorBidi" w:cstheme="majorBidi"/>
          <w:sz w:val="20"/>
          <w:szCs w:val="20"/>
        </w:rPr>
        <w:t>(Charani et al., 2013)</w:t>
      </w:r>
      <w:r w:rsidRPr="001C6BC5">
        <w:rPr>
          <w:rFonts w:asciiTheme="majorBidi" w:hAnsiTheme="majorBidi" w:cstheme="majorBidi"/>
          <w:sz w:val="20"/>
          <w:szCs w:val="20"/>
        </w:rPr>
        <w:t>.</w:t>
      </w:r>
    </w:p>
    <w:p w14:paraId="76C0A0FB" w14:textId="77777777" w:rsidR="00B22CD6" w:rsidRPr="001C6BC5" w:rsidRDefault="00B22CD6" w:rsidP="00F219A5">
      <w:pPr>
        <w:spacing w:after="0" w:line="240" w:lineRule="auto"/>
        <w:jc w:val="both"/>
        <w:rPr>
          <w:rFonts w:asciiTheme="majorBidi" w:hAnsiTheme="majorBidi" w:cstheme="majorBidi"/>
          <w:sz w:val="20"/>
          <w:szCs w:val="20"/>
        </w:rPr>
      </w:pPr>
    </w:p>
    <w:p w14:paraId="2D57358D" w14:textId="77777777"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1.3 Why AI Changes the Game</w:t>
      </w:r>
    </w:p>
    <w:p w14:paraId="52279C5A" w14:textId="77777777" w:rsidR="00B22CD6" w:rsidRPr="001C6BC5" w:rsidRDefault="00B22CD6" w:rsidP="00F219A5">
      <w:pPr>
        <w:spacing w:after="0" w:line="240" w:lineRule="auto"/>
        <w:jc w:val="both"/>
        <w:rPr>
          <w:rFonts w:asciiTheme="majorBidi" w:hAnsiTheme="majorBidi" w:cstheme="majorBidi"/>
          <w:sz w:val="20"/>
          <w:szCs w:val="20"/>
        </w:rPr>
      </w:pPr>
    </w:p>
    <w:p w14:paraId="05AE1CAC" w14:textId="56ECB6A4"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Artificial intelligence (AI) has the potential to transform antimicrobial stewardship, with numerous tools already being explored in clinical and research settings to support predictive and data-driven decision-making. Traditional approaches rely heavily on retrospective data and delayed laboratory results, whereas AI systems can </w:t>
      </w:r>
      <w:proofErr w:type="spellStart"/>
      <w:r w:rsidRPr="001C6BC5">
        <w:rPr>
          <w:rFonts w:asciiTheme="majorBidi" w:hAnsiTheme="majorBidi" w:cstheme="majorBidi"/>
          <w:sz w:val="20"/>
          <w:szCs w:val="20"/>
        </w:rPr>
        <w:t>analyse</w:t>
      </w:r>
      <w:proofErr w:type="spellEnd"/>
      <w:r w:rsidRPr="001C6BC5">
        <w:rPr>
          <w:rFonts w:asciiTheme="majorBidi" w:hAnsiTheme="majorBidi" w:cstheme="majorBidi"/>
          <w:sz w:val="20"/>
          <w:szCs w:val="20"/>
        </w:rPr>
        <w:t xml:space="preserve"> large volumes of real-time and historical data to generate early predictions of antimicrobial resistance and guide targeted therapy</w:t>
      </w:r>
      <w:r w:rsidR="004F2526" w:rsidRPr="001C6BC5">
        <w:rPr>
          <w:rFonts w:asciiTheme="majorBidi" w:hAnsiTheme="majorBidi" w:cstheme="majorBidi"/>
          <w:sz w:val="20"/>
          <w:szCs w:val="20"/>
        </w:rPr>
        <w:t xml:space="preserve"> (Topol, 2019)</w:t>
      </w:r>
      <w:r w:rsidRPr="001C6BC5">
        <w:rPr>
          <w:rFonts w:asciiTheme="majorBidi" w:hAnsiTheme="majorBidi" w:cstheme="majorBidi"/>
          <w:sz w:val="20"/>
          <w:szCs w:val="20"/>
        </w:rPr>
        <w:t>.</w:t>
      </w:r>
    </w:p>
    <w:p w14:paraId="7ECD7E2C" w14:textId="77777777" w:rsidR="00B22CD6" w:rsidRPr="001C6BC5" w:rsidRDefault="00B22CD6" w:rsidP="00F219A5">
      <w:pPr>
        <w:spacing w:after="0" w:line="240" w:lineRule="auto"/>
        <w:jc w:val="both"/>
        <w:rPr>
          <w:rFonts w:asciiTheme="majorBidi" w:hAnsiTheme="majorBidi" w:cstheme="majorBidi"/>
          <w:sz w:val="20"/>
          <w:szCs w:val="20"/>
        </w:rPr>
      </w:pPr>
    </w:p>
    <w:p w14:paraId="038E99AD" w14:textId="1E21E6A9"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Machine learning models are particularly effective at handling complex, multidimensional datasets that include patient demographics, clinical parameters, microbiological profiles, and antibiotic usage patterns. By identifying hidden patterns and associations within these datasets, AI can support clinicians in selecting the most appropriate antimicrobial therapy before culture results become available</w:t>
      </w:r>
      <w:r w:rsidR="004F2526" w:rsidRPr="001C6BC5">
        <w:rPr>
          <w:rFonts w:asciiTheme="majorBidi" w:hAnsiTheme="majorBidi" w:cstheme="majorBidi"/>
          <w:sz w:val="20"/>
          <w:szCs w:val="20"/>
        </w:rPr>
        <w:t xml:space="preserve"> (Wiens &amp; Shenoy, 2018)</w:t>
      </w:r>
      <w:r w:rsidRPr="001C6BC5">
        <w:rPr>
          <w:rFonts w:asciiTheme="majorBidi" w:hAnsiTheme="majorBidi" w:cstheme="majorBidi"/>
          <w:sz w:val="20"/>
          <w:szCs w:val="20"/>
        </w:rPr>
        <w:t>.</w:t>
      </w:r>
    </w:p>
    <w:p w14:paraId="20934F99" w14:textId="77777777" w:rsidR="00B22CD6" w:rsidRPr="001C6BC5" w:rsidRDefault="00B22CD6" w:rsidP="00F219A5">
      <w:pPr>
        <w:spacing w:after="0" w:line="240" w:lineRule="auto"/>
        <w:jc w:val="both"/>
        <w:rPr>
          <w:rFonts w:asciiTheme="majorBidi" w:hAnsiTheme="majorBidi" w:cstheme="majorBidi"/>
          <w:sz w:val="20"/>
          <w:szCs w:val="20"/>
        </w:rPr>
      </w:pPr>
    </w:p>
    <w:p w14:paraId="10AA3540" w14:textId="37ECB4F3"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Moreover, AI-driven systems can continuously learn and adapt from new data, improving their predictive accuracy over time. This dynamic capability is especially valuable in the context of AMR, where resistance patterns evolve rapidly and vary across regions and healthcare settings </w:t>
      </w:r>
      <w:r w:rsidR="004F2526" w:rsidRPr="001C6BC5">
        <w:rPr>
          <w:rFonts w:asciiTheme="majorBidi" w:hAnsiTheme="majorBidi" w:cstheme="majorBidi"/>
          <w:sz w:val="20"/>
          <w:szCs w:val="20"/>
        </w:rPr>
        <w:t>(Esteva et al., 2019)</w:t>
      </w:r>
      <w:r w:rsidRPr="001C6BC5">
        <w:rPr>
          <w:rFonts w:asciiTheme="majorBidi" w:hAnsiTheme="majorBidi" w:cstheme="majorBidi"/>
          <w:sz w:val="20"/>
          <w:szCs w:val="20"/>
        </w:rPr>
        <w:t>. As a result, AI offers the potential to reduce inappropriate antibiotic use, minimize treatment delays, and improve patient outcomes.</w:t>
      </w:r>
    </w:p>
    <w:p w14:paraId="0A6C0C63" w14:textId="77777777" w:rsidR="00B22CD6" w:rsidRPr="001C6BC5" w:rsidRDefault="00B22CD6" w:rsidP="00F219A5">
      <w:pPr>
        <w:spacing w:after="0" w:line="240" w:lineRule="auto"/>
        <w:jc w:val="both"/>
        <w:rPr>
          <w:rFonts w:asciiTheme="majorBidi" w:hAnsiTheme="majorBidi" w:cstheme="majorBidi"/>
          <w:sz w:val="20"/>
          <w:szCs w:val="20"/>
        </w:rPr>
      </w:pPr>
    </w:p>
    <w:p w14:paraId="6CC9A2F3" w14:textId="6E3AFE5D"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 xml:space="preserve">1.4 Aim of the </w:t>
      </w:r>
      <w:r w:rsidR="00B22CD6" w:rsidRPr="001C6BC5">
        <w:rPr>
          <w:rFonts w:asciiTheme="majorBidi" w:hAnsiTheme="majorBidi" w:cstheme="majorBidi"/>
          <w:b/>
          <w:bCs/>
        </w:rPr>
        <w:t>Review</w:t>
      </w:r>
    </w:p>
    <w:p w14:paraId="730347C3" w14:textId="77777777" w:rsidR="00B22CD6" w:rsidRPr="001C6BC5" w:rsidRDefault="00B22CD6" w:rsidP="00F219A5">
      <w:pPr>
        <w:spacing w:after="0" w:line="240" w:lineRule="auto"/>
        <w:jc w:val="both"/>
        <w:rPr>
          <w:rFonts w:asciiTheme="majorBidi" w:hAnsiTheme="majorBidi" w:cstheme="majorBidi"/>
          <w:sz w:val="20"/>
          <w:szCs w:val="20"/>
        </w:rPr>
      </w:pPr>
    </w:p>
    <w:p w14:paraId="0E7D4828" w14:textId="6E23EB35"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This review aims to provide a comprehensive critical analysis of artificial intelligence-driven predictive models in antimicrobial stewardship. Specifically, it seeks to evaluate the performance and applicability of various machine learning and deep learning approaches in predicting antimicrobial resistance and guiding clinical decision-making</w:t>
      </w:r>
      <w:r w:rsidR="004F2526" w:rsidRPr="001C6BC5">
        <w:rPr>
          <w:rFonts w:asciiTheme="majorBidi" w:hAnsiTheme="majorBidi" w:cstheme="majorBidi"/>
          <w:sz w:val="20"/>
          <w:szCs w:val="20"/>
        </w:rPr>
        <w:t xml:space="preserve"> (Liu et al. n.d.)</w:t>
      </w:r>
      <w:r w:rsidRPr="001C6BC5">
        <w:rPr>
          <w:rFonts w:asciiTheme="majorBidi" w:hAnsiTheme="majorBidi" w:cstheme="majorBidi"/>
          <w:sz w:val="20"/>
          <w:szCs w:val="20"/>
        </w:rPr>
        <w:t>.</w:t>
      </w:r>
    </w:p>
    <w:p w14:paraId="0D3934A9" w14:textId="77777777" w:rsidR="00B22CD6" w:rsidRPr="001C6BC5" w:rsidRDefault="00B22CD6" w:rsidP="00F219A5">
      <w:pPr>
        <w:spacing w:after="0" w:line="240" w:lineRule="auto"/>
        <w:jc w:val="both"/>
        <w:rPr>
          <w:rFonts w:asciiTheme="majorBidi" w:hAnsiTheme="majorBidi" w:cstheme="majorBidi"/>
          <w:sz w:val="20"/>
          <w:szCs w:val="20"/>
        </w:rPr>
      </w:pPr>
    </w:p>
    <w:p w14:paraId="7745CE04" w14:textId="245A8ED0"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In addition to assessing predictive accuracy, this review examines the clinical relevance of these models, including their integration into healthcare workflows and their impact on prescribing practices. It also identifies key limitations in current research, such as data quality issues, lack of external validation, and challenges in real-world implementation</w:t>
      </w:r>
      <w:r w:rsidR="004F2526" w:rsidRPr="001C6BC5">
        <w:rPr>
          <w:rFonts w:asciiTheme="majorBidi" w:hAnsiTheme="majorBidi" w:cstheme="majorBidi"/>
          <w:sz w:val="20"/>
          <w:szCs w:val="20"/>
        </w:rPr>
        <w:t xml:space="preserve"> (Kelly et al., 2019)</w:t>
      </w:r>
      <w:r w:rsidRPr="001C6BC5">
        <w:rPr>
          <w:rFonts w:asciiTheme="majorBidi" w:hAnsiTheme="majorBidi" w:cstheme="majorBidi"/>
          <w:sz w:val="20"/>
          <w:szCs w:val="20"/>
        </w:rPr>
        <w:t>.</w:t>
      </w:r>
    </w:p>
    <w:p w14:paraId="077ACFD1" w14:textId="77777777" w:rsidR="00B22CD6" w:rsidRPr="001C6BC5" w:rsidRDefault="00B22CD6" w:rsidP="00F219A5">
      <w:pPr>
        <w:spacing w:after="0" w:line="240" w:lineRule="auto"/>
        <w:jc w:val="both"/>
        <w:rPr>
          <w:rFonts w:asciiTheme="majorBidi" w:hAnsiTheme="majorBidi" w:cstheme="majorBidi"/>
          <w:sz w:val="20"/>
          <w:szCs w:val="20"/>
        </w:rPr>
      </w:pPr>
    </w:p>
    <w:p w14:paraId="4BFD6517"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Finally, the review aims to outline future directions for the development and deployment of AI-based tools in antimicrobial stewardship, with particular attention to their feasibility in low-resource settings, defined as healthcare systems with limited digital infrastructure, restricted access to microbiological diagnostics, and constrained financial and technical resources. By synthesizing current evidence and highlighting existing gaps, this work seeks to contribute to the advancement of more effective, data-driven strategies to combat antimicrobial resistance.</w:t>
      </w:r>
    </w:p>
    <w:p w14:paraId="7BFE1145" w14:textId="77777777" w:rsidR="00B22CD6" w:rsidRPr="001C6BC5" w:rsidRDefault="00B22CD6" w:rsidP="00F219A5">
      <w:pPr>
        <w:spacing w:after="0" w:line="240" w:lineRule="auto"/>
        <w:jc w:val="both"/>
        <w:rPr>
          <w:rFonts w:asciiTheme="majorBidi" w:hAnsiTheme="majorBidi" w:cstheme="majorBidi"/>
          <w:sz w:val="20"/>
          <w:szCs w:val="20"/>
        </w:rPr>
      </w:pPr>
    </w:p>
    <w:p w14:paraId="531C0416" w14:textId="77777777"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2. Foundation of AI in AMR</w:t>
      </w:r>
    </w:p>
    <w:p w14:paraId="341EC4A3" w14:textId="77777777" w:rsidR="00B22CD6" w:rsidRPr="001C6BC5" w:rsidRDefault="00B22CD6" w:rsidP="00F219A5">
      <w:pPr>
        <w:spacing w:after="0" w:line="240" w:lineRule="auto"/>
        <w:jc w:val="both"/>
        <w:rPr>
          <w:rFonts w:asciiTheme="majorBidi" w:hAnsiTheme="majorBidi" w:cstheme="majorBidi"/>
          <w:b/>
          <w:bCs/>
          <w:sz w:val="20"/>
          <w:szCs w:val="20"/>
        </w:rPr>
      </w:pPr>
    </w:p>
    <w:p w14:paraId="74D5ACEF" w14:textId="050F3988"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2.1 Types of AI Used</w:t>
      </w:r>
    </w:p>
    <w:p w14:paraId="05F437D9" w14:textId="77777777" w:rsidR="00B22CD6" w:rsidRPr="001C6BC5" w:rsidRDefault="00B22CD6" w:rsidP="00F219A5">
      <w:pPr>
        <w:spacing w:after="0" w:line="240" w:lineRule="auto"/>
        <w:jc w:val="both"/>
        <w:rPr>
          <w:rFonts w:asciiTheme="majorBidi" w:hAnsiTheme="majorBidi" w:cstheme="majorBidi"/>
          <w:sz w:val="20"/>
          <w:szCs w:val="20"/>
        </w:rPr>
      </w:pPr>
    </w:p>
    <w:p w14:paraId="44585113" w14:textId="1B6A7DD4"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Artificial intelligence (AI) in antimicrobial resistance (AMR) research primarily relies on machine (ML) and deep learning (DL) approaches, each offering distinct advantages depending on the nature and complexity of the data</w:t>
      </w:r>
      <w:r w:rsidR="00B22CD6" w:rsidRPr="001C6BC5">
        <w:rPr>
          <w:rFonts w:asciiTheme="majorBidi" w:hAnsiTheme="majorBidi" w:cstheme="majorBidi"/>
          <w:sz w:val="20"/>
          <w:szCs w:val="20"/>
        </w:rPr>
        <w:t>.</w:t>
      </w:r>
    </w:p>
    <w:p w14:paraId="7EE7CED1" w14:textId="77777777" w:rsidR="00B22CD6" w:rsidRPr="001C6BC5" w:rsidRDefault="00B22CD6" w:rsidP="00F219A5">
      <w:pPr>
        <w:spacing w:after="0" w:line="240" w:lineRule="auto"/>
        <w:jc w:val="both"/>
        <w:rPr>
          <w:rFonts w:asciiTheme="majorBidi" w:hAnsiTheme="majorBidi" w:cstheme="majorBidi"/>
          <w:sz w:val="20"/>
          <w:szCs w:val="20"/>
        </w:rPr>
      </w:pPr>
    </w:p>
    <w:p w14:paraId="0B2B104F" w14:textId="4C7EC2B0"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Machine learning models are widely used due to their interpretability and effectiveness with structured clinical datasets. Algorithms such as Random Forest, Support Vector Machine (SVM), and gradient boosting methods (</w:t>
      </w:r>
      <w:proofErr w:type="spellStart"/>
      <w:r w:rsidRPr="001C6BC5">
        <w:rPr>
          <w:rFonts w:asciiTheme="majorBidi" w:hAnsiTheme="majorBidi" w:cstheme="majorBidi"/>
          <w:sz w:val="20"/>
          <w:szCs w:val="20"/>
        </w:rPr>
        <w:t>e.g</w:t>
      </w:r>
      <w:proofErr w:type="spellEnd"/>
      <w:r w:rsidRPr="001C6BC5">
        <w:rPr>
          <w:rFonts w:asciiTheme="majorBidi" w:hAnsiTheme="majorBidi" w:cstheme="majorBidi"/>
          <w:sz w:val="20"/>
          <w:szCs w:val="20"/>
        </w:rPr>
        <w:t xml:space="preserve">, </w:t>
      </w:r>
      <w:proofErr w:type="spellStart"/>
      <w:r w:rsidRPr="001C6BC5">
        <w:rPr>
          <w:rFonts w:asciiTheme="majorBidi" w:hAnsiTheme="majorBidi" w:cstheme="majorBidi"/>
          <w:sz w:val="20"/>
          <w:szCs w:val="20"/>
        </w:rPr>
        <w:t>XGBoost</w:t>
      </w:r>
      <w:proofErr w:type="spellEnd"/>
      <w:r w:rsidRPr="001C6BC5">
        <w:rPr>
          <w:rFonts w:asciiTheme="majorBidi" w:hAnsiTheme="majorBidi" w:cstheme="majorBidi"/>
          <w:sz w:val="20"/>
          <w:szCs w:val="20"/>
        </w:rPr>
        <w:t>) have demonstrated strong performance in predicting antimicrobial resistance patterns. Random Forest models are particularly valued for their robustness and ability to handle the non-linear relationships, while SVMs are effective in high-dimensional datasets with limited samples. Gradient boosting techniques, on the other hand, often achieve high predictive accuracy by iteratively correcting errors from previous models</w:t>
      </w:r>
      <w:r w:rsidR="004F2526" w:rsidRPr="001C6BC5">
        <w:rPr>
          <w:rFonts w:asciiTheme="majorBidi" w:hAnsiTheme="majorBidi" w:cstheme="majorBidi"/>
          <w:sz w:val="20"/>
          <w:szCs w:val="20"/>
        </w:rPr>
        <w:t xml:space="preserve"> (Chen &amp; </w:t>
      </w:r>
      <w:proofErr w:type="spellStart"/>
      <w:r w:rsidR="004F2526" w:rsidRPr="001C6BC5">
        <w:rPr>
          <w:rFonts w:asciiTheme="majorBidi" w:hAnsiTheme="majorBidi" w:cstheme="majorBidi"/>
          <w:sz w:val="20"/>
          <w:szCs w:val="20"/>
        </w:rPr>
        <w:t>Guestrin</w:t>
      </w:r>
      <w:proofErr w:type="spellEnd"/>
      <w:r w:rsidR="004F2526" w:rsidRPr="001C6BC5">
        <w:rPr>
          <w:rFonts w:asciiTheme="majorBidi" w:hAnsiTheme="majorBidi" w:cstheme="majorBidi"/>
          <w:sz w:val="20"/>
          <w:szCs w:val="20"/>
        </w:rPr>
        <w:t>, 2016)</w:t>
      </w:r>
      <w:r w:rsidRPr="001C6BC5">
        <w:rPr>
          <w:rFonts w:asciiTheme="majorBidi" w:hAnsiTheme="majorBidi" w:cstheme="majorBidi"/>
          <w:sz w:val="20"/>
          <w:szCs w:val="20"/>
        </w:rPr>
        <w:t>.</w:t>
      </w:r>
    </w:p>
    <w:p w14:paraId="0E1D6857" w14:textId="47D372F4"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lastRenderedPageBreak/>
        <w:t>Deep learning approaches extend these capabilities by enabling the analysis of complex and unstructured data. Artificial neural networks can model intricate relationships across multiple variables, making them suitable for large-scale clinical and biological datasets. Convolutional neural networks (CNNs) have broader applications, including analysis of genomic sequences, microbiological imaging, and encoded biological data, enabling identification of resistance-associated patterns at a detailed level</w:t>
      </w:r>
      <w:r w:rsidR="004F2526" w:rsidRPr="001C6BC5">
        <w:rPr>
          <w:rFonts w:asciiTheme="majorBidi" w:hAnsiTheme="majorBidi" w:cstheme="majorBidi"/>
          <w:sz w:val="20"/>
          <w:szCs w:val="20"/>
        </w:rPr>
        <w:t xml:space="preserve"> (Arango-</w:t>
      </w:r>
      <w:proofErr w:type="spellStart"/>
      <w:r w:rsidR="004F2526" w:rsidRPr="001C6BC5">
        <w:rPr>
          <w:rFonts w:asciiTheme="majorBidi" w:hAnsiTheme="majorBidi" w:cstheme="majorBidi"/>
          <w:sz w:val="20"/>
          <w:szCs w:val="20"/>
        </w:rPr>
        <w:t>Argoty</w:t>
      </w:r>
      <w:proofErr w:type="spellEnd"/>
      <w:r w:rsidR="004F2526" w:rsidRPr="001C6BC5">
        <w:rPr>
          <w:rFonts w:asciiTheme="majorBidi" w:hAnsiTheme="majorBidi" w:cstheme="majorBidi"/>
          <w:sz w:val="20"/>
          <w:szCs w:val="20"/>
        </w:rPr>
        <w:t xml:space="preserve"> et al., 2018)</w:t>
      </w:r>
      <w:r w:rsidRPr="001C6BC5">
        <w:rPr>
          <w:rFonts w:asciiTheme="majorBidi" w:hAnsiTheme="majorBidi" w:cstheme="majorBidi"/>
          <w:sz w:val="20"/>
          <w:szCs w:val="20"/>
        </w:rPr>
        <w:t>.</w:t>
      </w:r>
    </w:p>
    <w:p w14:paraId="33257C93" w14:textId="77777777" w:rsidR="004F2526" w:rsidRPr="001C6BC5" w:rsidRDefault="004F2526" w:rsidP="00F219A5">
      <w:pPr>
        <w:spacing w:after="0" w:line="240" w:lineRule="auto"/>
        <w:jc w:val="both"/>
        <w:rPr>
          <w:rFonts w:asciiTheme="majorBidi" w:hAnsiTheme="majorBidi" w:cstheme="majorBidi"/>
          <w:sz w:val="20"/>
          <w:szCs w:val="20"/>
        </w:rPr>
      </w:pPr>
    </w:p>
    <w:p w14:paraId="19388994" w14:textId="18420F91"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While deep leaning models often outperform traditional machine learning techniques in terms of predictive power, they are frequently limited by their “black-box” nature, which can reduce interpretability and hinder clinical adoption. In contrast, machine learning models strike a balance between performance and explainability, making them more suitable for integration into clinical decision-making systems </w:t>
      </w:r>
      <w:r w:rsidR="004F2526" w:rsidRPr="001C6BC5">
        <w:rPr>
          <w:rFonts w:asciiTheme="majorBidi" w:hAnsiTheme="majorBidi" w:cstheme="majorBidi"/>
          <w:sz w:val="20"/>
          <w:szCs w:val="20"/>
        </w:rPr>
        <w:t>(Ribeiro et al., 2016)</w:t>
      </w:r>
      <w:r w:rsidRPr="001C6BC5">
        <w:rPr>
          <w:rFonts w:asciiTheme="majorBidi" w:hAnsiTheme="majorBidi" w:cstheme="majorBidi"/>
          <w:sz w:val="20"/>
          <w:szCs w:val="20"/>
        </w:rPr>
        <w:t xml:space="preserve">. </w:t>
      </w:r>
    </w:p>
    <w:p w14:paraId="07C487DC" w14:textId="77777777" w:rsidR="00B22CD6" w:rsidRPr="001C6BC5" w:rsidRDefault="00B22CD6" w:rsidP="00F219A5">
      <w:pPr>
        <w:spacing w:after="0" w:line="240" w:lineRule="auto"/>
        <w:jc w:val="both"/>
        <w:rPr>
          <w:rFonts w:asciiTheme="majorBidi" w:hAnsiTheme="majorBidi" w:cstheme="majorBidi"/>
          <w:sz w:val="20"/>
          <w:szCs w:val="20"/>
        </w:rPr>
      </w:pPr>
    </w:p>
    <w:p w14:paraId="2902C08B"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Although deep learning models are often described as “black-box” systems, recent advances in post hoc explainability methods such as Local Interpretable Model-Agnostic Explanations (LIME) and </w:t>
      </w:r>
      <w:proofErr w:type="spellStart"/>
      <w:r w:rsidRPr="001C6BC5">
        <w:rPr>
          <w:rFonts w:asciiTheme="majorBidi" w:hAnsiTheme="majorBidi" w:cstheme="majorBidi"/>
          <w:sz w:val="20"/>
          <w:szCs w:val="20"/>
        </w:rPr>
        <w:t>SHapley</w:t>
      </w:r>
      <w:proofErr w:type="spellEnd"/>
      <w:r w:rsidRPr="001C6BC5">
        <w:rPr>
          <w:rFonts w:asciiTheme="majorBidi" w:hAnsiTheme="majorBidi" w:cstheme="majorBidi"/>
          <w:sz w:val="20"/>
          <w:szCs w:val="20"/>
        </w:rPr>
        <w:t xml:space="preserve"> Additive </w:t>
      </w:r>
      <w:proofErr w:type="spellStart"/>
      <w:r w:rsidRPr="001C6BC5">
        <w:rPr>
          <w:rFonts w:asciiTheme="majorBidi" w:hAnsiTheme="majorBidi" w:cstheme="majorBidi"/>
          <w:sz w:val="20"/>
          <w:szCs w:val="20"/>
        </w:rPr>
        <w:t>exPlanations</w:t>
      </w:r>
      <w:proofErr w:type="spellEnd"/>
      <w:r w:rsidRPr="001C6BC5">
        <w:rPr>
          <w:rFonts w:asciiTheme="majorBidi" w:hAnsiTheme="majorBidi" w:cstheme="majorBidi"/>
          <w:sz w:val="20"/>
          <w:szCs w:val="20"/>
        </w:rPr>
        <w:t xml:space="preserve"> (SHAP) have improved interpretability. These techniques enable identification of feature importance and model decision pathways, thereby enhancing transparency and supporting clinical trust in AI-assisted decision-making.</w:t>
      </w:r>
    </w:p>
    <w:p w14:paraId="2BC09C38" w14:textId="77777777" w:rsidR="00B22CD6" w:rsidRPr="001C6BC5" w:rsidRDefault="00B22CD6" w:rsidP="00F219A5">
      <w:pPr>
        <w:spacing w:after="0" w:line="240" w:lineRule="auto"/>
        <w:jc w:val="both"/>
        <w:rPr>
          <w:rFonts w:asciiTheme="majorBidi" w:hAnsiTheme="majorBidi" w:cstheme="majorBidi"/>
          <w:sz w:val="20"/>
          <w:szCs w:val="20"/>
        </w:rPr>
      </w:pPr>
    </w:p>
    <w:p w14:paraId="69A15CCD" w14:textId="77777777"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2.2 Data Sources for AI Models</w:t>
      </w:r>
    </w:p>
    <w:p w14:paraId="09C2061F" w14:textId="77777777" w:rsidR="00B22CD6" w:rsidRPr="001C6BC5" w:rsidRDefault="00B22CD6" w:rsidP="00F219A5">
      <w:pPr>
        <w:spacing w:after="0" w:line="240" w:lineRule="auto"/>
        <w:jc w:val="both"/>
        <w:rPr>
          <w:rFonts w:asciiTheme="majorBidi" w:hAnsiTheme="majorBidi" w:cstheme="majorBidi"/>
          <w:sz w:val="20"/>
          <w:szCs w:val="20"/>
        </w:rPr>
      </w:pPr>
    </w:p>
    <w:p w14:paraId="6E72092C" w14:textId="1735E5EA"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The effectiveness of AI models in predicting antimicrobial resistance is fundamentally dependent on the quality and integration of diverse data sources. These models rely on comprehensive database that capture clinical, microbiological, molecular dimensions of infection.</w:t>
      </w:r>
    </w:p>
    <w:p w14:paraId="65EEAAF5" w14:textId="77777777" w:rsidR="00B22CD6" w:rsidRPr="001C6BC5" w:rsidRDefault="00B22CD6" w:rsidP="00F219A5">
      <w:pPr>
        <w:spacing w:after="0" w:line="240" w:lineRule="auto"/>
        <w:jc w:val="both"/>
        <w:rPr>
          <w:rFonts w:asciiTheme="majorBidi" w:hAnsiTheme="majorBidi" w:cstheme="majorBidi"/>
          <w:sz w:val="20"/>
          <w:szCs w:val="20"/>
        </w:rPr>
      </w:pPr>
    </w:p>
    <w:p w14:paraId="27D6E1FC" w14:textId="4CA9010B"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Electronic health records (EHRs) provide a rich source of patient- level data, including demographics, comorbidities, laboratory findings, and treatment histories. These data enable AI systems to identify risk factors and predict resistance patterns at individual level, supporting personalized antimicrobial therapy</w:t>
      </w:r>
      <w:r w:rsidR="004F2526" w:rsidRPr="001C6BC5">
        <w:rPr>
          <w:rFonts w:asciiTheme="majorBidi" w:hAnsiTheme="majorBidi" w:cstheme="majorBidi"/>
          <w:sz w:val="20"/>
          <w:szCs w:val="20"/>
        </w:rPr>
        <w:t xml:space="preserve"> (</w:t>
      </w:r>
      <w:proofErr w:type="spellStart"/>
      <w:r w:rsidR="004F2526" w:rsidRPr="001C6BC5">
        <w:rPr>
          <w:rFonts w:asciiTheme="majorBidi" w:hAnsiTheme="majorBidi" w:cstheme="majorBidi"/>
          <w:sz w:val="20"/>
          <w:szCs w:val="20"/>
        </w:rPr>
        <w:t>Rajkomar</w:t>
      </w:r>
      <w:proofErr w:type="spellEnd"/>
      <w:r w:rsidR="004F2526" w:rsidRPr="001C6BC5">
        <w:rPr>
          <w:rFonts w:asciiTheme="majorBidi" w:hAnsiTheme="majorBidi" w:cstheme="majorBidi"/>
          <w:sz w:val="20"/>
          <w:szCs w:val="20"/>
        </w:rPr>
        <w:t xml:space="preserve"> et al., 2018)</w:t>
      </w:r>
      <w:r w:rsidRPr="001C6BC5">
        <w:rPr>
          <w:rFonts w:asciiTheme="majorBidi" w:hAnsiTheme="majorBidi" w:cstheme="majorBidi"/>
          <w:sz w:val="20"/>
          <w:szCs w:val="20"/>
        </w:rPr>
        <w:t>.</w:t>
      </w:r>
    </w:p>
    <w:p w14:paraId="6E7040B8" w14:textId="77777777" w:rsidR="00B22CD6" w:rsidRPr="001C6BC5" w:rsidRDefault="00B22CD6" w:rsidP="00F219A5">
      <w:pPr>
        <w:spacing w:after="0" w:line="240" w:lineRule="auto"/>
        <w:jc w:val="both"/>
        <w:rPr>
          <w:rFonts w:asciiTheme="majorBidi" w:hAnsiTheme="majorBidi" w:cstheme="majorBidi"/>
          <w:sz w:val="20"/>
          <w:szCs w:val="20"/>
        </w:rPr>
      </w:pPr>
    </w:p>
    <w:p w14:paraId="79A843E7" w14:textId="6BD09910"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Microbiology laboratory data, including culture and microbial susceptibility testing results, form core of resistance prediction models. These datasets allow AI systems to learn organism-specific resistance trends and local epidemiological patterns, which are critical for accurate and context-specific predictions</w:t>
      </w:r>
      <w:r w:rsidR="004F2526" w:rsidRPr="001C6BC5">
        <w:rPr>
          <w:rFonts w:asciiTheme="majorBidi" w:hAnsiTheme="majorBidi" w:cstheme="majorBidi"/>
          <w:sz w:val="20"/>
          <w:szCs w:val="20"/>
        </w:rPr>
        <w:t xml:space="preserve"> (Tacconelli et al., 2018)</w:t>
      </w:r>
      <w:r w:rsidRPr="001C6BC5">
        <w:rPr>
          <w:rFonts w:asciiTheme="majorBidi" w:hAnsiTheme="majorBidi" w:cstheme="majorBidi"/>
          <w:sz w:val="20"/>
          <w:szCs w:val="20"/>
        </w:rPr>
        <w:t>.</w:t>
      </w:r>
    </w:p>
    <w:p w14:paraId="4FEFB3EC" w14:textId="77777777" w:rsidR="00B22CD6" w:rsidRPr="001C6BC5" w:rsidRDefault="00B22CD6" w:rsidP="00F219A5">
      <w:pPr>
        <w:spacing w:after="0" w:line="240" w:lineRule="auto"/>
        <w:jc w:val="both"/>
        <w:rPr>
          <w:rFonts w:asciiTheme="majorBidi" w:hAnsiTheme="majorBidi" w:cstheme="majorBidi"/>
          <w:sz w:val="20"/>
          <w:szCs w:val="20"/>
        </w:rPr>
      </w:pPr>
    </w:p>
    <w:p w14:paraId="4742006F" w14:textId="78336132"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Genomic sequencing data offer deeper insights into the molecular basis of antimicrobial resistance. By </w:t>
      </w:r>
      <w:proofErr w:type="spellStart"/>
      <w:r w:rsidRPr="001C6BC5">
        <w:rPr>
          <w:rFonts w:asciiTheme="majorBidi" w:hAnsiTheme="majorBidi" w:cstheme="majorBidi"/>
          <w:sz w:val="20"/>
          <w:szCs w:val="20"/>
        </w:rPr>
        <w:t>analysing</w:t>
      </w:r>
      <w:proofErr w:type="spellEnd"/>
      <w:r w:rsidRPr="001C6BC5">
        <w:rPr>
          <w:rFonts w:asciiTheme="majorBidi" w:hAnsiTheme="majorBidi" w:cstheme="majorBidi"/>
          <w:sz w:val="20"/>
          <w:szCs w:val="20"/>
        </w:rPr>
        <w:t xml:space="preserve"> genetic mutations and resistance genes, AI models can predict resistance with high precision, particularly in complex or multidrug-resistant organisms. However, the </w:t>
      </w:r>
      <w:proofErr w:type="gramStart"/>
      <w:r w:rsidRPr="001C6BC5">
        <w:rPr>
          <w:rFonts w:asciiTheme="majorBidi" w:hAnsiTheme="majorBidi" w:cstheme="majorBidi"/>
          <w:sz w:val="20"/>
          <w:szCs w:val="20"/>
        </w:rPr>
        <w:t>widespread  use</w:t>
      </w:r>
      <w:proofErr w:type="gramEnd"/>
      <w:r w:rsidRPr="001C6BC5">
        <w:rPr>
          <w:rFonts w:asciiTheme="majorBidi" w:hAnsiTheme="majorBidi" w:cstheme="majorBidi"/>
          <w:sz w:val="20"/>
          <w:szCs w:val="20"/>
        </w:rPr>
        <w:t xml:space="preserve"> of genomic data is still limited by cost, infrastructure, and technical expertise requirements</w:t>
      </w:r>
      <w:r w:rsidR="004F2526" w:rsidRPr="001C6BC5">
        <w:rPr>
          <w:rFonts w:asciiTheme="majorBidi" w:hAnsiTheme="majorBidi" w:cstheme="majorBidi"/>
          <w:sz w:val="20"/>
          <w:szCs w:val="20"/>
        </w:rPr>
        <w:t xml:space="preserve"> (Didelot et al., 2017)</w:t>
      </w:r>
      <w:r w:rsidRPr="001C6BC5">
        <w:rPr>
          <w:rFonts w:asciiTheme="majorBidi" w:hAnsiTheme="majorBidi" w:cstheme="majorBidi"/>
          <w:sz w:val="20"/>
          <w:szCs w:val="20"/>
        </w:rPr>
        <w:t>.</w:t>
      </w:r>
    </w:p>
    <w:p w14:paraId="6B7EBB52" w14:textId="77777777" w:rsidR="00B22CD6" w:rsidRPr="001C6BC5" w:rsidRDefault="00B22CD6" w:rsidP="00F219A5">
      <w:pPr>
        <w:spacing w:after="0" w:line="240" w:lineRule="auto"/>
        <w:jc w:val="both"/>
        <w:rPr>
          <w:rFonts w:asciiTheme="majorBidi" w:hAnsiTheme="majorBidi" w:cstheme="majorBidi"/>
          <w:sz w:val="20"/>
          <w:szCs w:val="20"/>
        </w:rPr>
      </w:pPr>
    </w:p>
    <w:p w14:paraId="4A17848E" w14:textId="6DCBF0F9"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Antibiotic usage patterns provide essential contextual information regarding prescribing </w:t>
      </w:r>
      <w:proofErr w:type="spellStart"/>
      <w:r w:rsidRPr="001C6BC5">
        <w:rPr>
          <w:rFonts w:asciiTheme="majorBidi" w:hAnsiTheme="majorBidi" w:cstheme="majorBidi"/>
          <w:sz w:val="20"/>
          <w:szCs w:val="20"/>
        </w:rPr>
        <w:t>behaviours</w:t>
      </w:r>
      <w:proofErr w:type="spellEnd"/>
      <w:r w:rsidRPr="001C6BC5">
        <w:rPr>
          <w:rFonts w:asciiTheme="majorBidi" w:hAnsiTheme="majorBidi" w:cstheme="majorBidi"/>
          <w:sz w:val="20"/>
          <w:szCs w:val="20"/>
        </w:rPr>
        <w:t xml:space="preserve"> and selective pressure. Data on antibiotic consumption, duration, and class help AI models understand how resistance evolves over time within specific populations or healthcare settings</w:t>
      </w:r>
      <w:r w:rsidR="004F2526" w:rsidRPr="001C6BC5">
        <w:rPr>
          <w:rFonts w:asciiTheme="majorBidi" w:hAnsiTheme="majorBidi" w:cstheme="majorBidi"/>
          <w:sz w:val="20"/>
          <w:szCs w:val="20"/>
        </w:rPr>
        <w:t xml:space="preserve"> (Klein et al. n.d.).</w:t>
      </w:r>
    </w:p>
    <w:p w14:paraId="2F0D6281" w14:textId="77777777" w:rsidR="00B22CD6" w:rsidRPr="001C6BC5" w:rsidRDefault="00B22CD6" w:rsidP="00F219A5">
      <w:pPr>
        <w:spacing w:after="0" w:line="240" w:lineRule="auto"/>
        <w:jc w:val="both"/>
        <w:rPr>
          <w:rFonts w:asciiTheme="majorBidi" w:hAnsiTheme="majorBidi" w:cstheme="majorBidi"/>
          <w:sz w:val="20"/>
          <w:szCs w:val="20"/>
        </w:rPr>
      </w:pPr>
    </w:p>
    <w:p w14:paraId="03451A73"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Taken together, these data sources from the backbone of AI-driven AMR prediction. However, their utility is highly dependent on data quality, standardization, and completeness. Inconsistent or biased datasets can significantly impair model performance and limit generalizability. Model is only as strong as the dataset quality</w:t>
      </w:r>
      <w:r w:rsidRPr="001C6BC5">
        <w:rPr>
          <w:rFonts w:asciiTheme="majorBidi" w:hAnsiTheme="majorBidi" w:cstheme="majorBidi"/>
          <w:b/>
          <w:bCs/>
          <w:sz w:val="20"/>
          <w:szCs w:val="20"/>
        </w:rPr>
        <w:t>,</w:t>
      </w:r>
      <w:r w:rsidRPr="001C6BC5">
        <w:rPr>
          <w:rFonts w:asciiTheme="majorBidi" w:hAnsiTheme="majorBidi" w:cstheme="majorBidi"/>
          <w:sz w:val="20"/>
          <w:szCs w:val="20"/>
        </w:rPr>
        <w:t xml:space="preserve"> understanding the need for robust data curation and integration frameworks.</w:t>
      </w:r>
    </w:p>
    <w:p w14:paraId="29B71F09" w14:textId="77777777" w:rsidR="00B22CD6" w:rsidRPr="001C6BC5" w:rsidRDefault="00B22CD6" w:rsidP="00F219A5">
      <w:pPr>
        <w:spacing w:after="0" w:line="240" w:lineRule="auto"/>
        <w:jc w:val="both"/>
        <w:rPr>
          <w:rFonts w:asciiTheme="majorBidi" w:hAnsiTheme="majorBidi" w:cstheme="majorBidi"/>
          <w:sz w:val="20"/>
          <w:szCs w:val="20"/>
        </w:rPr>
      </w:pPr>
    </w:p>
    <w:p w14:paraId="0D145F9C" w14:textId="77777777"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3. AI in Predicting Antimicrobial Resistance (Core Section)</w:t>
      </w:r>
    </w:p>
    <w:p w14:paraId="48E91775" w14:textId="77777777" w:rsidR="00B22CD6" w:rsidRPr="001C6BC5" w:rsidRDefault="00B22CD6" w:rsidP="00F219A5">
      <w:pPr>
        <w:spacing w:after="0" w:line="240" w:lineRule="auto"/>
        <w:jc w:val="both"/>
        <w:rPr>
          <w:rFonts w:asciiTheme="majorBidi" w:hAnsiTheme="majorBidi" w:cstheme="majorBidi"/>
          <w:b/>
          <w:bCs/>
          <w:sz w:val="20"/>
          <w:szCs w:val="20"/>
        </w:rPr>
      </w:pPr>
    </w:p>
    <w:p w14:paraId="61A48F22" w14:textId="7AA28C30"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 xml:space="preserve">3.1 Pathogen- Level Prediction </w:t>
      </w:r>
    </w:p>
    <w:p w14:paraId="1BA7422D" w14:textId="77777777" w:rsidR="00B22CD6" w:rsidRPr="001C6BC5" w:rsidRDefault="00B22CD6" w:rsidP="00F219A5">
      <w:pPr>
        <w:spacing w:after="0" w:line="240" w:lineRule="auto"/>
        <w:jc w:val="both"/>
        <w:rPr>
          <w:rFonts w:asciiTheme="majorBidi" w:hAnsiTheme="majorBidi" w:cstheme="majorBidi"/>
          <w:sz w:val="20"/>
          <w:szCs w:val="20"/>
        </w:rPr>
      </w:pPr>
    </w:p>
    <w:p w14:paraId="0113E350" w14:textId="712E6360"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AI models used for pathogen-level prediction can be broadly categorized as organism-specific or generalized models across multiple pathogens. Organism-specific models are trained on data from a single pathogen and often achieve higher predictive accuracy due to focused datasets. In contrast, generalized models are designed to predict resistance across multiple organisms, offering broader applicability but sometimes with reduced precision. The choice of model depends on the clinical context, data availability, and intended application.</w:t>
      </w:r>
    </w:p>
    <w:p w14:paraId="730421B1" w14:textId="0DD4202C"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lastRenderedPageBreak/>
        <w:t>AI models have shown strong capability in predicting resistance at the pathogen level, particularly for clinically significant organisms such as Escherichia coli, Klebsiella pneumoniae, and Staphylococcus aureus by integrating microbiological data with patient-specific clinical variables, machine learning algorithms can identify resistance patterns that may not be apparent through conventional analysis</w:t>
      </w:r>
      <w:r w:rsidR="004F2526" w:rsidRPr="001C6BC5">
        <w:rPr>
          <w:rFonts w:asciiTheme="majorBidi" w:hAnsiTheme="majorBidi" w:cstheme="majorBidi"/>
          <w:sz w:val="20"/>
          <w:szCs w:val="20"/>
        </w:rPr>
        <w:t xml:space="preserve"> (Yelin et al., 2019)</w:t>
      </w:r>
      <w:r w:rsidRPr="001C6BC5">
        <w:rPr>
          <w:rFonts w:asciiTheme="majorBidi" w:hAnsiTheme="majorBidi" w:cstheme="majorBidi"/>
          <w:sz w:val="20"/>
          <w:szCs w:val="20"/>
        </w:rPr>
        <w:t>.</w:t>
      </w:r>
    </w:p>
    <w:p w14:paraId="7B17EBC6" w14:textId="77777777" w:rsidR="00B22CD6" w:rsidRPr="001C6BC5" w:rsidRDefault="00B22CD6" w:rsidP="00F219A5">
      <w:pPr>
        <w:spacing w:after="0" w:line="240" w:lineRule="auto"/>
        <w:jc w:val="both"/>
        <w:rPr>
          <w:rFonts w:asciiTheme="majorBidi" w:hAnsiTheme="majorBidi" w:cstheme="majorBidi"/>
          <w:sz w:val="20"/>
          <w:szCs w:val="20"/>
        </w:rPr>
      </w:pPr>
    </w:p>
    <w:p w14:paraId="008D74E6" w14:textId="122CA911"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These models are especially valuable in settings with well-established surveillance systems, where historical resistance trends can be leveraged to forecast future patterns. For instance, AI systems can predict the likelihood of extended- spectrum beta-lactamase (ESBL) production or methicillin resistance based on prior patient history and institutional data. This enables earlier and more targeted therapeutic decisions, reducing reliance on broad-spectrum antibiotics </w:t>
      </w:r>
      <w:r w:rsidR="004F2526" w:rsidRPr="001C6BC5">
        <w:rPr>
          <w:rFonts w:asciiTheme="majorBidi" w:hAnsiTheme="majorBidi" w:cstheme="majorBidi"/>
          <w:sz w:val="20"/>
          <w:szCs w:val="20"/>
        </w:rPr>
        <w:t>(Kanj &amp; Kanafani, 2011)</w:t>
      </w:r>
      <w:r w:rsidRPr="001C6BC5">
        <w:rPr>
          <w:rFonts w:asciiTheme="majorBidi" w:hAnsiTheme="majorBidi" w:cstheme="majorBidi"/>
          <w:sz w:val="20"/>
          <w:szCs w:val="20"/>
        </w:rPr>
        <w:t>.</w:t>
      </w:r>
    </w:p>
    <w:p w14:paraId="6F810A34" w14:textId="77777777" w:rsidR="00B22CD6" w:rsidRPr="001C6BC5" w:rsidRDefault="00B22CD6" w:rsidP="00F219A5">
      <w:pPr>
        <w:spacing w:after="0" w:line="240" w:lineRule="auto"/>
        <w:jc w:val="both"/>
        <w:rPr>
          <w:rFonts w:asciiTheme="majorBidi" w:hAnsiTheme="majorBidi" w:cstheme="majorBidi"/>
          <w:sz w:val="20"/>
          <w:szCs w:val="20"/>
        </w:rPr>
      </w:pPr>
    </w:p>
    <w:p w14:paraId="4DCA424B" w14:textId="77777777"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 xml:space="preserve">3.2 Antibiotic Susceptibility Prediction </w:t>
      </w:r>
    </w:p>
    <w:p w14:paraId="4C8D3965" w14:textId="77777777" w:rsidR="00B22CD6" w:rsidRPr="001C6BC5" w:rsidRDefault="00B22CD6" w:rsidP="00F219A5">
      <w:pPr>
        <w:spacing w:after="0" w:line="240" w:lineRule="auto"/>
        <w:jc w:val="both"/>
        <w:rPr>
          <w:rFonts w:asciiTheme="majorBidi" w:hAnsiTheme="majorBidi" w:cstheme="majorBidi"/>
          <w:sz w:val="20"/>
          <w:szCs w:val="20"/>
        </w:rPr>
      </w:pPr>
    </w:p>
    <w:p w14:paraId="635E0D90" w14:textId="4471606E"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One of the most clinically impactful applications of AI is the prediction of antibiotic susceptibility before culture and sensitivity results are available. Traditional microbiological methods require 48-72 hours, during which empirical therapy is initiated under uncertainty. AI models can bridge this gap by providing early predictions of susceptibility profiles based on available clinical and laboratory data </w:t>
      </w:r>
      <w:r w:rsidR="004F2526" w:rsidRPr="001C6BC5">
        <w:rPr>
          <w:rFonts w:asciiTheme="majorBidi" w:hAnsiTheme="majorBidi" w:cstheme="majorBidi"/>
          <w:sz w:val="20"/>
          <w:szCs w:val="20"/>
        </w:rPr>
        <w:t>(Rawson et al., 2021)</w:t>
      </w:r>
      <w:r w:rsidRPr="001C6BC5">
        <w:rPr>
          <w:rFonts w:asciiTheme="majorBidi" w:hAnsiTheme="majorBidi" w:cstheme="majorBidi"/>
          <w:sz w:val="20"/>
          <w:szCs w:val="20"/>
        </w:rPr>
        <w:t>.</w:t>
      </w:r>
    </w:p>
    <w:p w14:paraId="0392FE96" w14:textId="77777777" w:rsidR="00B22CD6" w:rsidRPr="001C6BC5" w:rsidRDefault="00B22CD6" w:rsidP="00F219A5">
      <w:pPr>
        <w:spacing w:after="0" w:line="240" w:lineRule="auto"/>
        <w:jc w:val="both"/>
        <w:rPr>
          <w:rFonts w:asciiTheme="majorBidi" w:hAnsiTheme="majorBidi" w:cstheme="majorBidi"/>
          <w:sz w:val="20"/>
          <w:szCs w:val="20"/>
        </w:rPr>
      </w:pPr>
    </w:p>
    <w:p w14:paraId="2A3B3C35"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Model validation is critical to ensure reliability and clinical applicability of AI systems. Common approaches include internal validation using cross-validation techniques and external validation across independent datasets. Model performance is typically evaluated using metrics such as area under the receiver operating characteristic curve (AUROC), sensitivity, specificity, and precision. External validation is particularly important to assess generalizability across different populations and healthcare settings.</w:t>
      </w:r>
    </w:p>
    <w:p w14:paraId="068B17C7" w14:textId="77777777" w:rsidR="00B22CD6" w:rsidRPr="001C6BC5" w:rsidRDefault="00B22CD6" w:rsidP="00F219A5">
      <w:pPr>
        <w:spacing w:after="0" w:line="240" w:lineRule="auto"/>
        <w:jc w:val="both"/>
        <w:rPr>
          <w:rFonts w:asciiTheme="majorBidi" w:hAnsiTheme="majorBidi" w:cstheme="majorBidi"/>
          <w:sz w:val="20"/>
          <w:szCs w:val="20"/>
        </w:rPr>
      </w:pPr>
    </w:p>
    <w:p w14:paraId="3D819080" w14:textId="24AD8918"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Machine learning algorithms trained on large datasets can estimate the probability of resistance to specific antibiotics, allowing clinicians to tailor therapy more precisely at the point of </w:t>
      </w:r>
      <w:proofErr w:type="gramStart"/>
      <w:r w:rsidRPr="001C6BC5">
        <w:rPr>
          <w:rFonts w:asciiTheme="majorBidi" w:hAnsiTheme="majorBidi" w:cstheme="majorBidi"/>
          <w:sz w:val="20"/>
          <w:szCs w:val="20"/>
        </w:rPr>
        <w:t>care .</w:t>
      </w:r>
      <w:proofErr w:type="gramEnd"/>
      <w:r w:rsidRPr="001C6BC5">
        <w:rPr>
          <w:rFonts w:asciiTheme="majorBidi" w:hAnsiTheme="majorBidi" w:cstheme="majorBidi"/>
          <w:sz w:val="20"/>
          <w:szCs w:val="20"/>
        </w:rPr>
        <w:t xml:space="preserve"> This approach has been shown to reduce inappropriate antibiotic use and improve treatment outcomes, particularly in high-risk infections</w:t>
      </w:r>
      <w:r w:rsidR="004F2526" w:rsidRPr="001C6BC5">
        <w:rPr>
          <w:rFonts w:asciiTheme="majorBidi" w:hAnsiTheme="majorBidi" w:cstheme="majorBidi"/>
          <w:sz w:val="20"/>
          <w:szCs w:val="20"/>
        </w:rPr>
        <w:t xml:space="preserve"> (Tison &amp; Marcus, 2019)</w:t>
      </w:r>
      <w:r w:rsidRPr="001C6BC5">
        <w:rPr>
          <w:rFonts w:asciiTheme="majorBidi" w:hAnsiTheme="majorBidi" w:cstheme="majorBidi"/>
          <w:sz w:val="20"/>
          <w:szCs w:val="20"/>
        </w:rPr>
        <w:t>.</w:t>
      </w:r>
    </w:p>
    <w:p w14:paraId="44B8E0AE" w14:textId="77777777" w:rsidR="00B22CD6" w:rsidRPr="001C6BC5" w:rsidRDefault="00B22CD6" w:rsidP="00F219A5">
      <w:pPr>
        <w:spacing w:after="0" w:line="240" w:lineRule="auto"/>
        <w:jc w:val="both"/>
        <w:rPr>
          <w:rFonts w:asciiTheme="majorBidi" w:hAnsiTheme="majorBidi" w:cstheme="majorBidi"/>
          <w:sz w:val="20"/>
          <w:szCs w:val="20"/>
        </w:rPr>
      </w:pPr>
    </w:p>
    <w:p w14:paraId="2E9150C6"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Importantly, susceptibility prediction models can be continuously updated with new data, enabling adaptation to evolving resistance patterns. This dynamic learning capability gives AI a clear advantage over static clinical guidelines.</w:t>
      </w:r>
    </w:p>
    <w:p w14:paraId="50EEA8A5" w14:textId="77777777" w:rsidR="00B22CD6" w:rsidRPr="001C6BC5" w:rsidRDefault="00B22CD6" w:rsidP="00F219A5">
      <w:pPr>
        <w:spacing w:after="0" w:line="240" w:lineRule="auto"/>
        <w:jc w:val="both"/>
        <w:rPr>
          <w:rFonts w:asciiTheme="majorBidi" w:hAnsiTheme="majorBidi" w:cstheme="majorBidi"/>
          <w:sz w:val="20"/>
          <w:szCs w:val="20"/>
        </w:rPr>
      </w:pPr>
    </w:p>
    <w:p w14:paraId="17D48058" w14:textId="77777777" w:rsidR="00A25153" w:rsidRPr="001C6BC5" w:rsidRDefault="00A25153" w:rsidP="00F219A5">
      <w:pPr>
        <w:spacing w:after="0" w:line="240" w:lineRule="auto"/>
        <w:jc w:val="both"/>
        <w:rPr>
          <w:rFonts w:asciiTheme="majorBidi" w:hAnsiTheme="majorBidi" w:cstheme="majorBidi"/>
        </w:rPr>
      </w:pPr>
      <w:r w:rsidRPr="001C6BC5">
        <w:rPr>
          <w:rFonts w:asciiTheme="majorBidi" w:hAnsiTheme="majorBidi" w:cstheme="majorBidi"/>
          <w:b/>
          <w:bCs/>
        </w:rPr>
        <w:t>3.3 Sepsis and ICU Applications</w:t>
      </w:r>
    </w:p>
    <w:p w14:paraId="22F8A337" w14:textId="77777777" w:rsidR="00B22CD6" w:rsidRPr="001C6BC5" w:rsidRDefault="00B22CD6" w:rsidP="00F219A5">
      <w:pPr>
        <w:spacing w:after="0" w:line="240" w:lineRule="auto"/>
        <w:jc w:val="both"/>
        <w:rPr>
          <w:rFonts w:asciiTheme="majorBidi" w:hAnsiTheme="majorBidi" w:cstheme="majorBidi"/>
          <w:sz w:val="20"/>
          <w:szCs w:val="20"/>
        </w:rPr>
      </w:pPr>
    </w:p>
    <w:p w14:paraId="4E4C5D3A" w14:textId="6EC8A89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In critical care settings, particularly in sepsis and intensive care units (ICUs), AI applications can be broadly categorized into two types: early detection models and antimicrobial resistance (AMR) prediction models. Early detection models focus on identifying sepsis at an early stage using real-time clinical data such as vital signs, laboratory parameters, and patient history. In contrast, AMR prediction models estimate the likelihood of resistant pathogens to guide appropriate antibiotic selection. Both approaches are complementary and play a crucial role in improving patient outcomes in high-risk environments</w:t>
      </w:r>
      <w:r w:rsidR="004F2526" w:rsidRPr="001C6BC5">
        <w:rPr>
          <w:rFonts w:asciiTheme="majorBidi" w:hAnsiTheme="majorBidi" w:cstheme="majorBidi"/>
          <w:sz w:val="20"/>
          <w:szCs w:val="20"/>
        </w:rPr>
        <w:t xml:space="preserve"> (Komorowski et al., 2018)</w:t>
      </w:r>
      <w:r w:rsidRPr="001C6BC5">
        <w:rPr>
          <w:rFonts w:asciiTheme="majorBidi" w:hAnsiTheme="majorBidi" w:cstheme="majorBidi"/>
          <w:sz w:val="20"/>
          <w:szCs w:val="20"/>
        </w:rPr>
        <w:t>.</w:t>
      </w:r>
    </w:p>
    <w:p w14:paraId="2A2F00F4" w14:textId="77777777" w:rsidR="00B22CD6" w:rsidRPr="001C6BC5" w:rsidRDefault="00B22CD6" w:rsidP="00F219A5">
      <w:pPr>
        <w:spacing w:after="0" w:line="240" w:lineRule="auto"/>
        <w:jc w:val="both"/>
        <w:rPr>
          <w:rFonts w:asciiTheme="majorBidi" w:hAnsiTheme="majorBidi" w:cstheme="majorBidi"/>
          <w:sz w:val="20"/>
          <w:szCs w:val="20"/>
        </w:rPr>
      </w:pPr>
    </w:p>
    <w:p w14:paraId="62A148D1"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For early detection, AI systems </w:t>
      </w:r>
      <w:proofErr w:type="spellStart"/>
      <w:r w:rsidRPr="001C6BC5">
        <w:rPr>
          <w:rFonts w:asciiTheme="majorBidi" w:hAnsiTheme="majorBidi" w:cstheme="majorBidi"/>
          <w:sz w:val="20"/>
          <w:szCs w:val="20"/>
        </w:rPr>
        <w:t>analyse</w:t>
      </w:r>
      <w:proofErr w:type="spellEnd"/>
      <w:r w:rsidRPr="001C6BC5">
        <w:rPr>
          <w:rFonts w:asciiTheme="majorBidi" w:hAnsiTheme="majorBidi" w:cstheme="majorBidi"/>
          <w:sz w:val="20"/>
          <w:szCs w:val="20"/>
        </w:rPr>
        <w:t xml:space="preserve"> real-time patient data, including vital signs, laboratory parameters, and prior infection history, to identify patients at risk of sepsis before clinical deterioration becomes evident.</w:t>
      </w:r>
    </w:p>
    <w:p w14:paraId="20DBA335" w14:textId="77777777" w:rsidR="00B22CD6" w:rsidRPr="001C6BC5" w:rsidRDefault="00B22CD6" w:rsidP="00F219A5">
      <w:pPr>
        <w:spacing w:after="0" w:line="240" w:lineRule="auto"/>
        <w:jc w:val="both"/>
        <w:rPr>
          <w:rFonts w:asciiTheme="majorBidi" w:hAnsiTheme="majorBidi" w:cstheme="majorBidi"/>
          <w:sz w:val="20"/>
          <w:szCs w:val="20"/>
        </w:rPr>
      </w:pPr>
    </w:p>
    <w:p w14:paraId="60737674" w14:textId="7DAAB868"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For antimicrobial resistance prediction, AI models in ICU settings can identify patterns of multidrug-resistant organisms and predict resistance trends specific to a unit or institution, enabling more targeted antibiotic selection and improved stewardship practices</w:t>
      </w:r>
      <w:r w:rsidR="004F2526" w:rsidRPr="001C6BC5">
        <w:rPr>
          <w:rFonts w:asciiTheme="majorBidi" w:hAnsiTheme="majorBidi" w:cstheme="majorBidi"/>
          <w:sz w:val="20"/>
          <w:szCs w:val="20"/>
        </w:rPr>
        <w:t xml:space="preserve"> (Peiffer-</w:t>
      </w:r>
      <w:proofErr w:type="spellStart"/>
      <w:r w:rsidR="004F2526" w:rsidRPr="001C6BC5">
        <w:rPr>
          <w:rFonts w:asciiTheme="majorBidi" w:hAnsiTheme="majorBidi" w:cstheme="majorBidi"/>
          <w:sz w:val="20"/>
          <w:szCs w:val="20"/>
        </w:rPr>
        <w:t>Smadja</w:t>
      </w:r>
      <w:proofErr w:type="spellEnd"/>
      <w:r w:rsidR="004F2526" w:rsidRPr="001C6BC5">
        <w:rPr>
          <w:rFonts w:asciiTheme="majorBidi" w:hAnsiTheme="majorBidi" w:cstheme="majorBidi"/>
          <w:sz w:val="20"/>
          <w:szCs w:val="20"/>
        </w:rPr>
        <w:t xml:space="preserve"> et al., 2020)</w:t>
      </w:r>
      <w:r w:rsidRPr="001C6BC5">
        <w:rPr>
          <w:rFonts w:asciiTheme="majorBidi" w:hAnsiTheme="majorBidi" w:cstheme="majorBidi"/>
          <w:sz w:val="20"/>
          <w:szCs w:val="20"/>
        </w:rPr>
        <w:t>.</w:t>
      </w:r>
    </w:p>
    <w:p w14:paraId="145CD481" w14:textId="77777777" w:rsidR="00B22CD6" w:rsidRPr="001C6BC5" w:rsidRDefault="00B22CD6" w:rsidP="00F219A5">
      <w:pPr>
        <w:spacing w:after="0" w:line="240" w:lineRule="auto"/>
        <w:jc w:val="both"/>
        <w:rPr>
          <w:rFonts w:asciiTheme="majorBidi" w:hAnsiTheme="majorBidi" w:cstheme="majorBidi"/>
          <w:sz w:val="20"/>
          <w:szCs w:val="20"/>
        </w:rPr>
      </w:pPr>
    </w:p>
    <w:p w14:paraId="48943BFF" w14:textId="7AAF061D"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3.4 Comparative Analysis of Models</w:t>
      </w:r>
      <w:r w:rsidR="00B22CD6" w:rsidRPr="001C6BC5">
        <w:rPr>
          <w:rFonts w:asciiTheme="majorBidi" w:hAnsiTheme="majorBidi" w:cstheme="majorBidi"/>
          <w:b/>
          <w:bCs/>
        </w:rPr>
        <w:t xml:space="preserve"> </w:t>
      </w:r>
      <w:r w:rsidRPr="001C6BC5">
        <w:rPr>
          <w:rFonts w:asciiTheme="majorBidi" w:hAnsiTheme="majorBidi" w:cstheme="majorBidi"/>
          <w:b/>
          <w:bCs/>
        </w:rPr>
        <w:t xml:space="preserve">(Insight – </w:t>
      </w:r>
      <w:r w:rsidR="00B22CD6" w:rsidRPr="001C6BC5">
        <w:rPr>
          <w:rFonts w:asciiTheme="majorBidi" w:hAnsiTheme="majorBidi" w:cstheme="majorBidi"/>
          <w:b/>
          <w:bCs/>
        </w:rPr>
        <w:t>Driven Syn</w:t>
      </w:r>
      <w:r w:rsidRPr="001C6BC5">
        <w:rPr>
          <w:rFonts w:asciiTheme="majorBidi" w:hAnsiTheme="majorBidi" w:cstheme="majorBidi"/>
          <w:b/>
          <w:bCs/>
        </w:rPr>
        <w:t>thesis)</w:t>
      </w:r>
    </w:p>
    <w:p w14:paraId="7AD55DA8" w14:textId="77777777" w:rsidR="00B22CD6" w:rsidRPr="001C6BC5" w:rsidRDefault="00B22CD6" w:rsidP="00F219A5">
      <w:pPr>
        <w:spacing w:after="0" w:line="240" w:lineRule="auto"/>
        <w:jc w:val="both"/>
        <w:rPr>
          <w:rFonts w:asciiTheme="majorBidi" w:hAnsiTheme="majorBidi" w:cstheme="majorBidi"/>
          <w:sz w:val="20"/>
          <w:szCs w:val="20"/>
        </w:rPr>
      </w:pPr>
    </w:p>
    <w:p w14:paraId="79CE8923" w14:textId="72D5456D"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Rather than focusing on individual studies, a comparative understanding of AI model performance provides more meaningful insights into their practical utility in antimicrobial stewardship. </w:t>
      </w:r>
    </w:p>
    <w:p w14:paraId="5A07D59C" w14:textId="77777777" w:rsidR="00B22CD6" w:rsidRPr="001C6BC5" w:rsidRDefault="00B22CD6" w:rsidP="00F219A5">
      <w:pPr>
        <w:spacing w:after="0" w:line="240" w:lineRule="auto"/>
        <w:jc w:val="both"/>
        <w:rPr>
          <w:rFonts w:asciiTheme="majorBidi" w:hAnsiTheme="majorBidi" w:cstheme="majorBidi"/>
          <w:sz w:val="18"/>
          <w:szCs w:val="18"/>
        </w:rPr>
      </w:pPr>
    </w:p>
    <w:p w14:paraId="0AD384EA" w14:textId="77777777" w:rsidR="00B22CD6" w:rsidRPr="001C6BC5" w:rsidRDefault="00B22CD6"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From a clinical perspective, no single model is universally superior. Instead, performance depends on the nature of the dataset and the intended application. Machine learning models such as Random Forest and gradient boosting are often preferred in clinical settings due to their balance between accuracy and interpretability. In </w:t>
      </w:r>
      <w:r w:rsidRPr="001C6BC5">
        <w:rPr>
          <w:rFonts w:asciiTheme="majorBidi" w:hAnsiTheme="majorBidi" w:cstheme="majorBidi"/>
          <w:sz w:val="20"/>
          <w:szCs w:val="20"/>
        </w:rPr>
        <w:lastRenderedPageBreak/>
        <w:t>contrast, deep learning models excel in analyzing complex datasets, such as genomic sequences, but face challenges in explainability and clinical trust.</w:t>
      </w:r>
    </w:p>
    <w:p w14:paraId="05F5CE24" w14:textId="77777777" w:rsidR="00B22CD6" w:rsidRPr="001C6BC5" w:rsidRDefault="00B22CD6" w:rsidP="00F219A5">
      <w:pPr>
        <w:spacing w:after="0" w:line="240" w:lineRule="auto"/>
        <w:jc w:val="both"/>
        <w:rPr>
          <w:rFonts w:asciiTheme="majorBidi" w:hAnsiTheme="majorBidi" w:cstheme="majorBidi"/>
          <w:sz w:val="20"/>
          <w:szCs w:val="20"/>
        </w:rPr>
      </w:pPr>
    </w:p>
    <w:p w14:paraId="03700C50" w14:textId="7BCD6F97" w:rsidR="00A25153" w:rsidRPr="001C6BC5" w:rsidRDefault="00B22CD6" w:rsidP="00F219A5">
      <w:pPr>
        <w:spacing w:after="0" w:line="240" w:lineRule="auto"/>
        <w:jc w:val="center"/>
        <w:rPr>
          <w:rFonts w:asciiTheme="majorBidi" w:hAnsiTheme="majorBidi" w:cstheme="majorBidi"/>
          <w:b/>
          <w:bCs/>
          <w:sz w:val="20"/>
          <w:szCs w:val="20"/>
        </w:rPr>
      </w:pPr>
      <w:r w:rsidRPr="001C6BC5">
        <w:rPr>
          <w:rFonts w:asciiTheme="majorBidi" w:hAnsiTheme="majorBidi" w:cstheme="majorBidi"/>
          <w:b/>
          <w:bCs/>
          <w:sz w:val="20"/>
          <w:szCs w:val="20"/>
        </w:rPr>
        <w:t xml:space="preserve">Table </w:t>
      </w:r>
      <w:r w:rsidR="00A25153" w:rsidRPr="001C6BC5">
        <w:rPr>
          <w:rFonts w:asciiTheme="majorBidi" w:hAnsiTheme="majorBidi" w:cstheme="majorBidi"/>
          <w:b/>
          <w:bCs/>
          <w:sz w:val="20"/>
          <w:szCs w:val="20"/>
        </w:rPr>
        <w:t xml:space="preserve">1. Strength and </w:t>
      </w:r>
      <w:r w:rsidRPr="001C6BC5">
        <w:rPr>
          <w:rFonts w:asciiTheme="majorBidi" w:hAnsiTheme="majorBidi" w:cstheme="majorBidi"/>
          <w:b/>
          <w:bCs/>
          <w:sz w:val="20"/>
          <w:szCs w:val="20"/>
        </w:rPr>
        <w:t>weakness of model types</w:t>
      </w:r>
    </w:p>
    <w:p w14:paraId="7C9511A1" w14:textId="77777777" w:rsidR="00A25153" w:rsidRPr="001C6BC5" w:rsidRDefault="00A25153" w:rsidP="00F219A5">
      <w:pPr>
        <w:spacing w:after="0" w:line="240" w:lineRule="auto"/>
        <w:jc w:val="both"/>
        <w:rPr>
          <w:rFonts w:asciiTheme="majorBidi" w:hAnsiTheme="majorBidi" w:cstheme="majorBidi"/>
          <w:b/>
          <w:bCs/>
          <w:sz w:val="20"/>
          <w:szCs w:val="20"/>
        </w:rPr>
      </w:pPr>
      <w:r w:rsidRPr="001C6BC5">
        <w:rPr>
          <w:rFonts w:asciiTheme="majorBidi" w:hAnsiTheme="majorBidi" w:cstheme="majorBidi"/>
          <w:sz w:val="20"/>
          <w:szCs w:val="20"/>
        </w:rPr>
        <w:t xml:space="preserve"> </w:t>
      </w:r>
    </w:p>
    <w:tbl>
      <w:tblPr>
        <w:tblStyle w:val="TableGrid"/>
        <w:tblW w:w="49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726"/>
        <w:gridCol w:w="2804"/>
        <w:gridCol w:w="2265"/>
        <w:gridCol w:w="2265"/>
      </w:tblGrid>
      <w:tr w:rsidR="00AB0D5D" w:rsidRPr="001C6BC5" w14:paraId="6862B8B2" w14:textId="77777777" w:rsidTr="00B22CD6">
        <w:trPr>
          <w:trHeight w:val="20"/>
          <w:jc w:val="center"/>
        </w:trPr>
        <w:tc>
          <w:tcPr>
            <w:tcW w:w="1726" w:type="dxa"/>
          </w:tcPr>
          <w:p w14:paraId="7DD25302" w14:textId="77777777" w:rsidR="00A25153" w:rsidRPr="001C6BC5" w:rsidRDefault="00A25153" w:rsidP="00F219A5">
            <w:pPr>
              <w:ind w:right="-111"/>
              <w:rPr>
                <w:rFonts w:asciiTheme="majorBidi" w:hAnsiTheme="majorBidi" w:cstheme="majorBidi"/>
                <w:b/>
                <w:bCs/>
                <w:sz w:val="20"/>
                <w:szCs w:val="20"/>
              </w:rPr>
            </w:pPr>
            <w:r w:rsidRPr="001C6BC5">
              <w:rPr>
                <w:rFonts w:asciiTheme="majorBidi" w:hAnsiTheme="majorBidi" w:cstheme="majorBidi"/>
                <w:b/>
                <w:bCs/>
                <w:sz w:val="20"/>
                <w:szCs w:val="20"/>
              </w:rPr>
              <w:t>Model type</w:t>
            </w:r>
          </w:p>
        </w:tc>
        <w:tc>
          <w:tcPr>
            <w:tcW w:w="2804" w:type="dxa"/>
          </w:tcPr>
          <w:p w14:paraId="08C767F2" w14:textId="77777777" w:rsidR="00A25153" w:rsidRPr="001C6BC5" w:rsidRDefault="00A25153" w:rsidP="00F219A5">
            <w:pPr>
              <w:ind w:right="-111"/>
              <w:rPr>
                <w:rFonts w:asciiTheme="majorBidi" w:hAnsiTheme="majorBidi" w:cstheme="majorBidi"/>
                <w:b/>
                <w:bCs/>
                <w:sz w:val="20"/>
                <w:szCs w:val="20"/>
              </w:rPr>
            </w:pPr>
            <w:r w:rsidRPr="001C6BC5">
              <w:rPr>
                <w:rFonts w:asciiTheme="majorBidi" w:hAnsiTheme="majorBidi" w:cstheme="majorBidi"/>
                <w:b/>
                <w:bCs/>
                <w:sz w:val="20"/>
                <w:szCs w:val="20"/>
              </w:rPr>
              <w:t xml:space="preserve">Strength </w:t>
            </w:r>
          </w:p>
        </w:tc>
        <w:tc>
          <w:tcPr>
            <w:tcW w:w="2265" w:type="dxa"/>
          </w:tcPr>
          <w:p w14:paraId="64EB57E6" w14:textId="77777777" w:rsidR="00A25153" w:rsidRPr="001C6BC5" w:rsidRDefault="00A25153" w:rsidP="00F219A5">
            <w:pPr>
              <w:ind w:right="-111"/>
              <w:rPr>
                <w:rFonts w:asciiTheme="majorBidi" w:hAnsiTheme="majorBidi" w:cstheme="majorBidi"/>
                <w:b/>
                <w:bCs/>
                <w:sz w:val="20"/>
                <w:szCs w:val="20"/>
              </w:rPr>
            </w:pPr>
            <w:r w:rsidRPr="001C6BC5">
              <w:rPr>
                <w:rFonts w:asciiTheme="majorBidi" w:hAnsiTheme="majorBidi" w:cstheme="majorBidi"/>
                <w:b/>
                <w:bCs/>
                <w:sz w:val="20"/>
                <w:szCs w:val="20"/>
              </w:rPr>
              <w:t xml:space="preserve">Weakness </w:t>
            </w:r>
          </w:p>
        </w:tc>
        <w:tc>
          <w:tcPr>
            <w:tcW w:w="2265" w:type="dxa"/>
          </w:tcPr>
          <w:p w14:paraId="3397FA1B" w14:textId="77777777" w:rsidR="00A25153" w:rsidRPr="001C6BC5" w:rsidRDefault="00A25153" w:rsidP="00F219A5">
            <w:pPr>
              <w:ind w:right="-111"/>
              <w:rPr>
                <w:rFonts w:asciiTheme="majorBidi" w:hAnsiTheme="majorBidi" w:cstheme="majorBidi"/>
                <w:b/>
                <w:bCs/>
                <w:sz w:val="20"/>
                <w:szCs w:val="20"/>
              </w:rPr>
            </w:pPr>
            <w:r w:rsidRPr="001C6BC5">
              <w:rPr>
                <w:rFonts w:asciiTheme="majorBidi" w:hAnsiTheme="majorBidi" w:cstheme="majorBidi"/>
                <w:b/>
                <w:bCs/>
                <w:sz w:val="20"/>
                <w:szCs w:val="20"/>
              </w:rPr>
              <w:t>Best use case</w:t>
            </w:r>
          </w:p>
        </w:tc>
      </w:tr>
      <w:tr w:rsidR="00AB0D5D" w:rsidRPr="001C6BC5" w14:paraId="6E0F4A1D" w14:textId="77777777" w:rsidTr="00B22CD6">
        <w:trPr>
          <w:trHeight w:val="20"/>
          <w:jc w:val="center"/>
        </w:trPr>
        <w:tc>
          <w:tcPr>
            <w:tcW w:w="1726" w:type="dxa"/>
          </w:tcPr>
          <w:p w14:paraId="2E546B2B" w14:textId="77777777" w:rsidR="00A25153" w:rsidRPr="001C6BC5" w:rsidRDefault="00A25153" w:rsidP="00F219A5">
            <w:pPr>
              <w:ind w:right="-111"/>
              <w:rPr>
                <w:rFonts w:asciiTheme="majorBidi" w:hAnsiTheme="majorBidi" w:cstheme="majorBidi"/>
                <w:sz w:val="20"/>
                <w:szCs w:val="20"/>
              </w:rPr>
            </w:pPr>
            <w:r w:rsidRPr="001C6BC5">
              <w:rPr>
                <w:rFonts w:asciiTheme="majorBidi" w:hAnsiTheme="majorBidi" w:cstheme="majorBidi"/>
                <w:sz w:val="20"/>
                <w:szCs w:val="20"/>
              </w:rPr>
              <w:t>Random Forest</w:t>
            </w:r>
          </w:p>
        </w:tc>
        <w:tc>
          <w:tcPr>
            <w:tcW w:w="2804" w:type="dxa"/>
          </w:tcPr>
          <w:p w14:paraId="77A016AD" w14:textId="77777777" w:rsidR="00A25153" w:rsidRPr="001C6BC5" w:rsidRDefault="00A25153" w:rsidP="00F219A5">
            <w:pPr>
              <w:ind w:right="-111"/>
              <w:rPr>
                <w:rFonts w:asciiTheme="majorBidi" w:hAnsiTheme="majorBidi" w:cstheme="majorBidi"/>
                <w:sz w:val="20"/>
                <w:szCs w:val="20"/>
              </w:rPr>
            </w:pPr>
            <w:r w:rsidRPr="001C6BC5">
              <w:rPr>
                <w:rFonts w:asciiTheme="majorBidi" w:hAnsiTheme="majorBidi" w:cstheme="majorBidi"/>
                <w:sz w:val="20"/>
                <w:szCs w:val="20"/>
              </w:rPr>
              <w:t>High accuracy, interpretable</w:t>
            </w:r>
          </w:p>
        </w:tc>
        <w:tc>
          <w:tcPr>
            <w:tcW w:w="2265" w:type="dxa"/>
          </w:tcPr>
          <w:p w14:paraId="5392E4AE" w14:textId="77777777" w:rsidR="00A25153" w:rsidRPr="001C6BC5" w:rsidRDefault="00A25153" w:rsidP="00F219A5">
            <w:pPr>
              <w:ind w:right="-111"/>
              <w:rPr>
                <w:rFonts w:asciiTheme="majorBidi" w:hAnsiTheme="majorBidi" w:cstheme="majorBidi"/>
                <w:sz w:val="20"/>
                <w:szCs w:val="20"/>
              </w:rPr>
            </w:pPr>
            <w:r w:rsidRPr="001C6BC5">
              <w:rPr>
                <w:rFonts w:asciiTheme="majorBidi" w:hAnsiTheme="majorBidi" w:cstheme="majorBidi"/>
                <w:sz w:val="20"/>
                <w:szCs w:val="20"/>
              </w:rPr>
              <w:t>Risk of overfitting</w:t>
            </w:r>
          </w:p>
        </w:tc>
        <w:tc>
          <w:tcPr>
            <w:tcW w:w="2265" w:type="dxa"/>
          </w:tcPr>
          <w:p w14:paraId="455BCE89" w14:textId="77777777" w:rsidR="00A25153" w:rsidRPr="001C6BC5" w:rsidRDefault="00A25153" w:rsidP="00F219A5">
            <w:pPr>
              <w:ind w:right="-111"/>
              <w:rPr>
                <w:rFonts w:asciiTheme="majorBidi" w:hAnsiTheme="majorBidi" w:cstheme="majorBidi"/>
                <w:sz w:val="20"/>
                <w:szCs w:val="20"/>
              </w:rPr>
            </w:pPr>
            <w:r w:rsidRPr="001C6BC5">
              <w:rPr>
                <w:rFonts w:asciiTheme="majorBidi" w:hAnsiTheme="majorBidi" w:cstheme="majorBidi"/>
                <w:sz w:val="20"/>
                <w:szCs w:val="20"/>
              </w:rPr>
              <w:t>Clinical prediction models</w:t>
            </w:r>
          </w:p>
        </w:tc>
      </w:tr>
      <w:tr w:rsidR="00AB0D5D" w:rsidRPr="001C6BC5" w14:paraId="3447DE85" w14:textId="77777777" w:rsidTr="00B22CD6">
        <w:trPr>
          <w:trHeight w:val="20"/>
          <w:jc w:val="center"/>
        </w:trPr>
        <w:tc>
          <w:tcPr>
            <w:tcW w:w="1726" w:type="dxa"/>
          </w:tcPr>
          <w:p w14:paraId="5B9B2D66" w14:textId="77777777" w:rsidR="00A25153" w:rsidRPr="001C6BC5" w:rsidRDefault="00A25153" w:rsidP="00F219A5">
            <w:pPr>
              <w:ind w:right="-111"/>
              <w:rPr>
                <w:rFonts w:asciiTheme="majorBidi" w:hAnsiTheme="majorBidi" w:cstheme="majorBidi"/>
                <w:sz w:val="20"/>
                <w:szCs w:val="20"/>
              </w:rPr>
            </w:pPr>
            <w:r w:rsidRPr="001C6BC5">
              <w:rPr>
                <w:rFonts w:asciiTheme="majorBidi" w:hAnsiTheme="majorBidi" w:cstheme="majorBidi"/>
                <w:sz w:val="20"/>
                <w:szCs w:val="20"/>
              </w:rPr>
              <w:t>SVM</w:t>
            </w:r>
          </w:p>
        </w:tc>
        <w:tc>
          <w:tcPr>
            <w:tcW w:w="2804" w:type="dxa"/>
          </w:tcPr>
          <w:p w14:paraId="6B298D6D" w14:textId="77777777" w:rsidR="00A25153" w:rsidRPr="001C6BC5" w:rsidRDefault="00A25153" w:rsidP="00F219A5">
            <w:pPr>
              <w:ind w:right="-111"/>
              <w:rPr>
                <w:rFonts w:asciiTheme="majorBidi" w:hAnsiTheme="majorBidi" w:cstheme="majorBidi"/>
                <w:sz w:val="20"/>
                <w:szCs w:val="20"/>
              </w:rPr>
            </w:pPr>
            <w:r w:rsidRPr="001C6BC5">
              <w:rPr>
                <w:rFonts w:asciiTheme="majorBidi" w:hAnsiTheme="majorBidi" w:cstheme="majorBidi"/>
                <w:sz w:val="20"/>
                <w:szCs w:val="20"/>
              </w:rPr>
              <w:t>Effective in small, high-dimensional data</w:t>
            </w:r>
          </w:p>
        </w:tc>
        <w:tc>
          <w:tcPr>
            <w:tcW w:w="2265" w:type="dxa"/>
          </w:tcPr>
          <w:p w14:paraId="3423739A" w14:textId="77777777" w:rsidR="00A25153" w:rsidRPr="001C6BC5" w:rsidRDefault="00A25153" w:rsidP="00F219A5">
            <w:pPr>
              <w:ind w:right="-111"/>
              <w:rPr>
                <w:rFonts w:asciiTheme="majorBidi" w:hAnsiTheme="majorBidi" w:cstheme="majorBidi"/>
                <w:sz w:val="20"/>
                <w:szCs w:val="20"/>
              </w:rPr>
            </w:pPr>
            <w:r w:rsidRPr="001C6BC5">
              <w:rPr>
                <w:rFonts w:asciiTheme="majorBidi" w:hAnsiTheme="majorBidi" w:cstheme="majorBidi"/>
                <w:sz w:val="20"/>
                <w:szCs w:val="20"/>
              </w:rPr>
              <w:t>Limited scalability</w:t>
            </w:r>
          </w:p>
        </w:tc>
        <w:tc>
          <w:tcPr>
            <w:tcW w:w="2265" w:type="dxa"/>
          </w:tcPr>
          <w:p w14:paraId="4F16AF17" w14:textId="77777777" w:rsidR="00A25153" w:rsidRPr="001C6BC5" w:rsidRDefault="00A25153" w:rsidP="00F219A5">
            <w:pPr>
              <w:ind w:right="-111"/>
              <w:rPr>
                <w:rFonts w:asciiTheme="majorBidi" w:hAnsiTheme="majorBidi" w:cstheme="majorBidi"/>
                <w:sz w:val="20"/>
                <w:szCs w:val="20"/>
              </w:rPr>
            </w:pPr>
            <w:r w:rsidRPr="001C6BC5">
              <w:rPr>
                <w:rFonts w:asciiTheme="majorBidi" w:hAnsiTheme="majorBidi" w:cstheme="majorBidi"/>
                <w:sz w:val="20"/>
                <w:szCs w:val="20"/>
              </w:rPr>
              <w:t>Targeted datasets</w:t>
            </w:r>
          </w:p>
        </w:tc>
      </w:tr>
      <w:tr w:rsidR="00AB0D5D" w:rsidRPr="001C6BC5" w14:paraId="6631F422" w14:textId="77777777" w:rsidTr="00B22CD6">
        <w:trPr>
          <w:trHeight w:val="20"/>
          <w:jc w:val="center"/>
        </w:trPr>
        <w:tc>
          <w:tcPr>
            <w:tcW w:w="1726" w:type="dxa"/>
          </w:tcPr>
          <w:p w14:paraId="44307400" w14:textId="77777777" w:rsidR="00A25153" w:rsidRPr="001C6BC5" w:rsidRDefault="00A25153" w:rsidP="00F219A5">
            <w:pPr>
              <w:ind w:right="-111"/>
              <w:rPr>
                <w:rFonts w:asciiTheme="majorBidi" w:hAnsiTheme="majorBidi" w:cstheme="majorBidi"/>
                <w:sz w:val="20"/>
                <w:szCs w:val="20"/>
              </w:rPr>
            </w:pPr>
            <w:r w:rsidRPr="001C6BC5">
              <w:rPr>
                <w:rFonts w:asciiTheme="majorBidi" w:hAnsiTheme="majorBidi" w:cstheme="majorBidi"/>
                <w:sz w:val="20"/>
                <w:szCs w:val="20"/>
              </w:rPr>
              <w:t>Gradient Boosting</w:t>
            </w:r>
          </w:p>
        </w:tc>
        <w:tc>
          <w:tcPr>
            <w:tcW w:w="2804" w:type="dxa"/>
          </w:tcPr>
          <w:p w14:paraId="11DEFC1E" w14:textId="77777777" w:rsidR="00A25153" w:rsidRPr="001C6BC5" w:rsidRDefault="00A25153" w:rsidP="00F219A5">
            <w:pPr>
              <w:ind w:right="-111"/>
              <w:rPr>
                <w:rFonts w:asciiTheme="majorBidi" w:hAnsiTheme="majorBidi" w:cstheme="majorBidi"/>
                <w:sz w:val="20"/>
                <w:szCs w:val="20"/>
              </w:rPr>
            </w:pPr>
            <w:r w:rsidRPr="001C6BC5">
              <w:rPr>
                <w:rFonts w:asciiTheme="majorBidi" w:hAnsiTheme="majorBidi" w:cstheme="majorBidi"/>
                <w:sz w:val="20"/>
                <w:szCs w:val="20"/>
              </w:rPr>
              <w:t xml:space="preserve">Strong predictive performance </w:t>
            </w:r>
          </w:p>
        </w:tc>
        <w:tc>
          <w:tcPr>
            <w:tcW w:w="2265" w:type="dxa"/>
          </w:tcPr>
          <w:p w14:paraId="327AD5C1" w14:textId="77777777" w:rsidR="00A25153" w:rsidRPr="001C6BC5" w:rsidRDefault="00A25153" w:rsidP="00F219A5">
            <w:pPr>
              <w:ind w:right="-111"/>
              <w:rPr>
                <w:rFonts w:asciiTheme="majorBidi" w:hAnsiTheme="majorBidi" w:cstheme="majorBidi"/>
                <w:sz w:val="20"/>
                <w:szCs w:val="20"/>
              </w:rPr>
            </w:pPr>
            <w:r w:rsidRPr="001C6BC5">
              <w:rPr>
                <w:rFonts w:asciiTheme="majorBidi" w:hAnsiTheme="majorBidi" w:cstheme="majorBidi"/>
                <w:sz w:val="20"/>
                <w:szCs w:val="20"/>
              </w:rPr>
              <w:t>Computationally intensive</w:t>
            </w:r>
          </w:p>
        </w:tc>
        <w:tc>
          <w:tcPr>
            <w:tcW w:w="2265" w:type="dxa"/>
          </w:tcPr>
          <w:p w14:paraId="2D671233" w14:textId="77777777" w:rsidR="00A25153" w:rsidRPr="001C6BC5" w:rsidRDefault="00A25153" w:rsidP="00F219A5">
            <w:pPr>
              <w:ind w:right="-111"/>
              <w:rPr>
                <w:rFonts w:asciiTheme="majorBidi" w:hAnsiTheme="majorBidi" w:cstheme="majorBidi"/>
                <w:sz w:val="20"/>
                <w:szCs w:val="20"/>
              </w:rPr>
            </w:pPr>
            <w:r w:rsidRPr="001C6BC5">
              <w:rPr>
                <w:rFonts w:asciiTheme="majorBidi" w:hAnsiTheme="majorBidi" w:cstheme="majorBidi"/>
                <w:sz w:val="20"/>
                <w:szCs w:val="20"/>
              </w:rPr>
              <w:t>Structured clinical data</w:t>
            </w:r>
          </w:p>
        </w:tc>
      </w:tr>
      <w:tr w:rsidR="00AB0D5D" w:rsidRPr="001C6BC5" w14:paraId="69DC2B49" w14:textId="77777777" w:rsidTr="00B22CD6">
        <w:trPr>
          <w:trHeight w:val="20"/>
          <w:jc w:val="center"/>
        </w:trPr>
        <w:tc>
          <w:tcPr>
            <w:tcW w:w="1726" w:type="dxa"/>
          </w:tcPr>
          <w:p w14:paraId="256FB2BD" w14:textId="77777777" w:rsidR="00A25153" w:rsidRPr="001C6BC5" w:rsidRDefault="00A25153" w:rsidP="00F219A5">
            <w:pPr>
              <w:ind w:right="-111"/>
              <w:rPr>
                <w:rFonts w:asciiTheme="majorBidi" w:hAnsiTheme="majorBidi" w:cstheme="majorBidi"/>
                <w:sz w:val="20"/>
                <w:szCs w:val="20"/>
              </w:rPr>
            </w:pPr>
            <w:r w:rsidRPr="001C6BC5">
              <w:rPr>
                <w:rFonts w:asciiTheme="majorBidi" w:hAnsiTheme="majorBidi" w:cstheme="majorBidi"/>
                <w:sz w:val="20"/>
                <w:szCs w:val="20"/>
              </w:rPr>
              <w:t xml:space="preserve">Deep Learning </w:t>
            </w:r>
          </w:p>
        </w:tc>
        <w:tc>
          <w:tcPr>
            <w:tcW w:w="2804" w:type="dxa"/>
          </w:tcPr>
          <w:p w14:paraId="4928D633" w14:textId="77777777" w:rsidR="00A25153" w:rsidRPr="001C6BC5" w:rsidRDefault="00A25153" w:rsidP="00F219A5">
            <w:pPr>
              <w:ind w:right="-111"/>
              <w:rPr>
                <w:rFonts w:asciiTheme="majorBidi" w:hAnsiTheme="majorBidi" w:cstheme="majorBidi"/>
                <w:sz w:val="20"/>
                <w:szCs w:val="20"/>
              </w:rPr>
            </w:pPr>
            <w:r w:rsidRPr="001C6BC5">
              <w:rPr>
                <w:rFonts w:asciiTheme="majorBidi" w:hAnsiTheme="majorBidi" w:cstheme="majorBidi"/>
                <w:sz w:val="20"/>
                <w:szCs w:val="20"/>
              </w:rPr>
              <w:t>Handles complex unstructured data</w:t>
            </w:r>
          </w:p>
        </w:tc>
        <w:tc>
          <w:tcPr>
            <w:tcW w:w="2265" w:type="dxa"/>
          </w:tcPr>
          <w:p w14:paraId="3EAE3EB1" w14:textId="77777777" w:rsidR="00A25153" w:rsidRPr="001C6BC5" w:rsidRDefault="00A25153" w:rsidP="00F219A5">
            <w:pPr>
              <w:ind w:right="-111"/>
              <w:rPr>
                <w:rFonts w:asciiTheme="majorBidi" w:hAnsiTheme="majorBidi" w:cstheme="majorBidi"/>
                <w:sz w:val="20"/>
                <w:szCs w:val="20"/>
              </w:rPr>
            </w:pPr>
            <w:r w:rsidRPr="001C6BC5">
              <w:rPr>
                <w:rFonts w:asciiTheme="majorBidi" w:hAnsiTheme="majorBidi" w:cstheme="majorBidi"/>
                <w:sz w:val="20"/>
                <w:szCs w:val="20"/>
              </w:rPr>
              <w:t xml:space="preserve">Black- box, </w:t>
            </w:r>
            <w:proofErr w:type="gramStart"/>
            <w:r w:rsidRPr="001C6BC5">
              <w:rPr>
                <w:rFonts w:asciiTheme="majorBidi" w:hAnsiTheme="majorBidi" w:cstheme="majorBidi"/>
                <w:sz w:val="20"/>
                <w:szCs w:val="20"/>
              </w:rPr>
              <w:t>low  interpretability</w:t>
            </w:r>
            <w:proofErr w:type="gramEnd"/>
          </w:p>
        </w:tc>
        <w:tc>
          <w:tcPr>
            <w:tcW w:w="2265" w:type="dxa"/>
          </w:tcPr>
          <w:p w14:paraId="3DA7CFD0" w14:textId="77777777" w:rsidR="00A25153" w:rsidRPr="001C6BC5" w:rsidRDefault="00A25153" w:rsidP="00F219A5">
            <w:pPr>
              <w:ind w:right="-111"/>
              <w:rPr>
                <w:rFonts w:asciiTheme="majorBidi" w:hAnsiTheme="majorBidi" w:cstheme="majorBidi"/>
                <w:sz w:val="20"/>
                <w:szCs w:val="20"/>
              </w:rPr>
            </w:pPr>
            <w:r w:rsidRPr="001C6BC5">
              <w:rPr>
                <w:rFonts w:asciiTheme="majorBidi" w:hAnsiTheme="majorBidi" w:cstheme="majorBidi"/>
                <w:sz w:val="20"/>
                <w:szCs w:val="20"/>
              </w:rPr>
              <w:t>Genomics, large datasets</w:t>
            </w:r>
          </w:p>
        </w:tc>
      </w:tr>
    </w:tbl>
    <w:p w14:paraId="3E758FB9" w14:textId="77777777" w:rsidR="00A25153" w:rsidRPr="001C6BC5" w:rsidRDefault="00A25153" w:rsidP="00F219A5">
      <w:pPr>
        <w:spacing w:after="0" w:line="240" w:lineRule="auto"/>
        <w:jc w:val="both"/>
        <w:rPr>
          <w:rFonts w:asciiTheme="majorBidi" w:hAnsiTheme="majorBidi" w:cstheme="majorBidi"/>
          <w:b/>
          <w:bCs/>
          <w:sz w:val="20"/>
          <w:szCs w:val="20"/>
        </w:rPr>
      </w:pPr>
    </w:p>
    <w:p w14:paraId="0344FA22" w14:textId="6FFE4B88"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What this really means is that the future of AI in AMR will likely involve hybrid approaches-combining the interpretability of traditional machine learning with the predictive power of deep learning. Selecting the appropriate model is not just a technical decision, but clinical one, shaped by data availability, infrastructure</w:t>
      </w:r>
      <w:r w:rsidR="00B22CD6" w:rsidRPr="001C6BC5">
        <w:rPr>
          <w:rFonts w:asciiTheme="majorBidi" w:hAnsiTheme="majorBidi" w:cstheme="majorBidi"/>
          <w:sz w:val="20"/>
          <w:szCs w:val="20"/>
        </w:rPr>
        <w:t>,</w:t>
      </w:r>
      <w:r w:rsidRPr="001C6BC5">
        <w:rPr>
          <w:rFonts w:asciiTheme="majorBidi" w:hAnsiTheme="majorBidi" w:cstheme="majorBidi"/>
          <w:sz w:val="20"/>
          <w:szCs w:val="20"/>
        </w:rPr>
        <w:t xml:space="preserve"> and the need for transparency in decision-making.</w:t>
      </w:r>
    </w:p>
    <w:p w14:paraId="644D2543" w14:textId="77777777" w:rsidR="00B22CD6" w:rsidRPr="001C6BC5" w:rsidRDefault="00B22CD6" w:rsidP="00F219A5">
      <w:pPr>
        <w:spacing w:after="0" w:line="240" w:lineRule="auto"/>
        <w:jc w:val="both"/>
        <w:rPr>
          <w:rFonts w:asciiTheme="majorBidi" w:hAnsiTheme="majorBidi" w:cstheme="majorBidi"/>
          <w:sz w:val="20"/>
          <w:szCs w:val="20"/>
        </w:rPr>
      </w:pPr>
    </w:p>
    <w:p w14:paraId="083C9238" w14:textId="09A49440"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4. AI in Clinical Decision Support Systems</w:t>
      </w:r>
      <w:r w:rsidR="00B22CD6" w:rsidRPr="001C6BC5">
        <w:rPr>
          <w:rFonts w:asciiTheme="majorBidi" w:hAnsiTheme="majorBidi" w:cstheme="majorBidi"/>
          <w:b/>
          <w:bCs/>
        </w:rPr>
        <w:t xml:space="preserve"> </w:t>
      </w:r>
      <w:r w:rsidRPr="001C6BC5">
        <w:rPr>
          <w:rFonts w:asciiTheme="majorBidi" w:hAnsiTheme="majorBidi" w:cstheme="majorBidi"/>
          <w:b/>
          <w:bCs/>
        </w:rPr>
        <w:t>(CDSS)</w:t>
      </w:r>
    </w:p>
    <w:p w14:paraId="3FB15324" w14:textId="77777777" w:rsidR="00B22CD6" w:rsidRPr="001C6BC5" w:rsidRDefault="00B22CD6" w:rsidP="00F219A5">
      <w:pPr>
        <w:spacing w:after="0" w:line="240" w:lineRule="auto"/>
        <w:jc w:val="both"/>
        <w:rPr>
          <w:rFonts w:asciiTheme="majorBidi" w:hAnsiTheme="majorBidi" w:cstheme="majorBidi"/>
          <w:b/>
          <w:bCs/>
          <w:sz w:val="20"/>
          <w:szCs w:val="20"/>
        </w:rPr>
      </w:pPr>
    </w:p>
    <w:p w14:paraId="16C213BD" w14:textId="77777777"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4.1 Integration into Hospital Workflow</w:t>
      </w:r>
    </w:p>
    <w:p w14:paraId="7EC80293" w14:textId="77777777" w:rsidR="00B22CD6" w:rsidRPr="001C6BC5" w:rsidRDefault="00B22CD6" w:rsidP="00F219A5">
      <w:pPr>
        <w:spacing w:after="0" w:line="240" w:lineRule="auto"/>
        <w:jc w:val="both"/>
        <w:rPr>
          <w:rFonts w:asciiTheme="majorBidi" w:hAnsiTheme="majorBidi" w:cstheme="majorBidi"/>
          <w:sz w:val="20"/>
          <w:szCs w:val="20"/>
        </w:rPr>
      </w:pPr>
    </w:p>
    <w:p w14:paraId="2E7BF645" w14:textId="10CF60FA"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Artificial intelligence-driven clinical decision support systems (CDSS) are increasingly being embedded into hospital workflows to assist clinicians in real-time decision- making. These systems integrate with electronic health records (EHRs) and continuously analyze patient data, including clinical parameters, laboratory results, and prior antibiotic exposure, to generate context- specific recommendations </w:t>
      </w:r>
      <w:r w:rsidR="004F2526" w:rsidRPr="001C6BC5">
        <w:rPr>
          <w:rFonts w:asciiTheme="majorBidi" w:hAnsiTheme="majorBidi" w:cstheme="majorBidi"/>
          <w:sz w:val="20"/>
          <w:szCs w:val="20"/>
        </w:rPr>
        <w:t>(Topol, 2019)</w:t>
      </w:r>
      <w:r w:rsidRPr="001C6BC5">
        <w:rPr>
          <w:rFonts w:asciiTheme="majorBidi" w:hAnsiTheme="majorBidi" w:cstheme="majorBidi"/>
          <w:sz w:val="20"/>
          <w:szCs w:val="20"/>
        </w:rPr>
        <w:t>.</w:t>
      </w:r>
    </w:p>
    <w:p w14:paraId="5CDE23E2" w14:textId="77777777" w:rsidR="00B22CD6" w:rsidRPr="001C6BC5" w:rsidRDefault="00B22CD6" w:rsidP="00F219A5">
      <w:pPr>
        <w:spacing w:after="0" w:line="240" w:lineRule="auto"/>
        <w:jc w:val="both"/>
        <w:rPr>
          <w:rFonts w:asciiTheme="majorBidi" w:hAnsiTheme="majorBidi" w:cstheme="majorBidi"/>
          <w:sz w:val="16"/>
          <w:szCs w:val="16"/>
        </w:rPr>
      </w:pPr>
    </w:p>
    <w:p w14:paraId="64A37DA2" w14:textId="57DC2EB0"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One of the most impactful applications is real-time antibiotic guidance. At the point of prescribing, AI- based CDSS can suggest optimal antimicrobial choices, dosing </w:t>
      </w:r>
      <w:proofErr w:type="spellStart"/>
      <w:r w:rsidRPr="001C6BC5">
        <w:rPr>
          <w:rFonts w:asciiTheme="majorBidi" w:hAnsiTheme="majorBidi" w:cstheme="majorBidi"/>
          <w:sz w:val="20"/>
          <w:szCs w:val="20"/>
        </w:rPr>
        <w:t>stratergies</w:t>
      </w:r>
      <w:proofErr w:type="spellEnd"/>
      <w:r w:rsidRPr="001C6BC5">
        <w:rPr>
          <w:rFonts w:asciiTheme="majorBidi" w:hAnsiTheme="majorBidi" w:cstheme="majorBidi"/>
          <w:sz w:val="20"/>
          <w:szCs w:val="20"/>
        </w:rPr>
        <w:t xml:space="preserve">, and duration of therapy tailored to the individual patient and local resistance patterns. This reduces reliance on empirical prescribing and supports more precise, data-driven interventions </w:t>
      </w:r>
      <w:r w:rsidR="004F2526" w:rsidRPr="001C6BC5">
        <w:rPr>
          <w:rFonts w:asciiTheme="majorBidi" w:hAnsiTheme="majorBidi" w:cstheme="majorBidi"/>
          <w:sz w:val="20"/>
          <w:szCs w:val="20"/>
        </w:rPr>
        <w:t>(Sutton et al., 2020)</w:t>
      </w:r>
      <w:r w:rsidRPr="001C6BC5">
        <w:rPr>
          <w:rFonts w:asciiTheme="majorBidi" w:hAnsiTheme="majorBidi" w:cstheme="majorBidi"/>
          <w:sz w:val="20"/>
          <w:szCs w:val="20"/>
        </w:rPr>
        <w:t xml:space="preserve">. </w:t>
      </w:r>
    </w:p>
    <w:p w14:paraId="70D90DA0" w14:textId="77777777" w:rsidR="00B22CD6" w:rsidRPr="001C6BC5" w:rsidRDefault="00B22CD6" w:rsidP="00F219A5">
      <w:pPr>
        <w:spacing w:after="0" w:line="240" w:lineRule="auto"/>
        <w:jc w:val="both"/>
        <w:rPr>
          <w:rFonts w:asciiTheme="majorBidi" w:hAnsiTheme="majorBidi" w:cstheme="majorBidi"/>
          <w:sz w:val="16"/>
          <w:szCs w:val="16"/>
        </w:rPr>
      </w:pPr>
    </w:p>
    <w:p w14:paraId="6F1799C3"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Seamless integration into clinical workflows is critical for adoption. Systems that operate passively in the background and provide actionable recommendations without disrupting clinician routines are most likely to be accepted and utilized effectively. Conversely, poorly integrated tools may contribute to alert fatigue and reduced compliance.</w:t>
      </w:r>
    </w:p>
    <w:p w14:paraId="007D5122" w14:textId="77777777" w:rsidR="00B22CD6" w:rsidRPr="001C6BC5" w:rsidRDefault="00B22CD6" w:rsidP="00F219A5">
      <w:pPr>
        <w:spacing w:after="0" w:line="240" w:lineRule="auto"/>
        <w:jc w:val="both"/>
        <w:rPr>
          <w:rFonts w:asciiTheme="majorBidi" w:hAnsiTheme="majorBidi" w:cstheme="majorBidi"/>
          <w:sz w:val="16"/>
          <w:szCs w:val="16"/>
        </w:rPr>
      </w:pPr>
    </w:p>
    <w:p w14:paraId="7772B131" w14:textId="77777777" w:rsidR="00A25153" w:rsidRPr="001C6BC5" w:rsidRDefault="00A25153" w:rsidP="00F219A5">
      <w:pPr>
        <w:spacing w:after="0" w:line="240" w:lineRule="auto"/>
        <w:jc w:val="both"/>
        <w:rPr>
          <w:rFonts w:asciiTheme="majorBidi" w:hAnsiTheme="majorBidi" w:cstheme="majorBidi"/>
        </w:rPr>
      </w:pPr>
      <w:r w:rsidRPr="001C6BC5">
        <w:rPr>
          <w:rFonts w:asciiTheme="majorBidi" w:hAnsiTheme="majorBidi" w:cstheme="majorBidi"/>
          <w:b/>
          <w:bCs/>
        </w:rPr>
        <w:t xml:space="preserve">4.2 Impact on Prescribing </w:t>
      </w:r>
      <w:proofErr w:type="spellStart"/>
      <w:r w:rsidRPr="001C6BC5">
        <w:rPr>
          <w:rFonts w:asciiTheme="majorBidi" w:hAnsiTheme="majorBidi" w:cstheme="majorBidi"/>
          <w:b/>
          <w:bCs/>
        </w:rPr>
        <w:t>Behaviour</w:t>
      </w:r>
      <w:proofErr w:type="spellEnd"/>
    </w:p>
    <w:p w14:paraId="68A9A933" w14:textId="77777777" w:rsidR="00B22CD6" w:rsidRPr="001C6BC5" w:rsidRDefault="00B22CD6" w:rsidP="00F219A5">
      <w:pPr>
        <w:spacing w:after="0" w:line="240" w:lineRule="auto"/>
        <w:jc w:val="both"/>
        <w:rPr>
          <w:rFonts w:asciiTheme="majorBidi" w:hAnsiTheme="majorBidi" w:cstheme="majorBidi"/>
          <w:sz w:val="16"/>
          <w:szCs w:val="16"/>
        </w:rPr>
      </w:pPr>
    </w:p>
    <w:p w14:paraId="06049F9D" w14:textId="629E29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AI enabled CDSS have demonstrated significant potential in influencing prescribing </w:t>
      </w:r>
      <w:proofErr w:type="spellStart"/>
      <w:r w:rsidRPr="001C6BC5">
        <w:rPr>
          <w:rFonts w:asciiTheme="majorBidi" w:hAnsiTheme="majorBidi" w:cstheme="majorBidi"/>
          <w:sz w:val="20"/>
          <w:szCs w:val="20"/>
        </w:rPr>
        <w:t>behaviour</w:t>
      </w:r>
      <w:proofErr w:type="spellEnd"/>
      <w:r w:rsidRPr="001C6BC5">
        <w:rPr>
          <w:rFonts w:asciiTheme="majorBidi" w:hAnsiTheme="majorBidi" w:cstheme="majorBidi"/>
          <w:sz w:val="20"/>
          <w:szCs w:val="20"/>
        </w:rPr>
        <w:t xml:space="preserve">, particularly in reducing the unnecessary use of broad-spectrum antibiotics. By providing evidence-based, patient-specific recommendations, these systems encourage clinicians to select narrower-spectrum agents when appropriate, thereby minimizing selective pressure for resistance </w:t>
      </w:r>
      <w:r w:rsidR="004F2526" w:rsidRPr="001C6BC5">
        <w:rPr>
          <w:rFonts w:asciiTheme="majorBidi" w:hAnsiTheme="majorBidi" w:cstheme="majorBidi"/>
          <w:sz w:val="20"/>
          <w:szCs w:val="20"/>
        </w:rPr>
        <w:t>(Bates et al. n.d.)</w:t>
      </w:r>
      <w:r w:rsidRPr="001C6BC5">
        <w:rPr>
          <w:rFonts w:asciiTheme="majorBidi" w:hAnsiTheme="majorBidi" w:cstheme="majorBidi"/>
          <w:sz w:val="20"/>
          <w:szCs w:val="20"/>
        </w:rPr>
        <w:t>.</w:t>
      </w:r>
    </w:p>
    <w:p w14:paraId="04018A64" w14:textId="77777777" w:rsidR="00B22CD6" w:rsidRPr="001C6BC5" w:rsidRDefault="00B22CD6" w:rsidP="00F219A5">
      <w:pPr>
        <w:spacing w:after="0" w:line="240" w:lineRule="auto"/>
        <w:jc w:val="both"/>
        <w:rPr>
          <w:rFonts w:asciiTheme="majorBidi" w:hAnsiTheme="majorBidi" w:cstheme="majorBidi"/>
          <w:sz w:val="16"/>
          <w:szCs w:val="16"/>
        </w:rPr>
      </w:pPr>
    </w:p>
    <w:p w14:paraId="7A6BF26B"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Studies have demonstrated measurable improvements following CDSS implementation, including reductions in broad-spectrum antibiotic use by approximately 20–30% and increased adherence to antimicrobial stewardship guidelines by 15–25% in hospital settings. Additionally, improvements in appropriate antibiotic selection and reductions in treatment duration have been reported, contributing to better clinical outcomes and reduced resistance pressure.</w:t>
      </w:r>
    </w:p>
    <w:p w14:paraId="517BDA36" w14:textId="77777777" w:rsidR="00B22CD6" w:rsidRPr="001C6BC5" w:rsidRDefault="00B22CD6" w:rsidP="00F219A5">
      <w:pPr>
        <w:spacing w:after="0" w:line="240" w:lineRule="auto"/>
        <w:jc w:val="both"/>
        <w:rPr>
          <w:rFonts w:asciiTheme="majorBidi" w:hAnsiTheme="majorBidi" w:cstheme="majorBidi"/>
          <w:sz w:val="16"/>
          <w:szCs w:val="16"/>
        </w:rPr>
      </w:pPr>
    </w:p>
    <w:p w14:paraId="1A3FEF68"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Importantly, the effectiveness of CDSS depends not only on algorithm performance but also on clinician trust and engagement. Transparent recommendations, supported by interpretable data, are more likely to influence decision-making than opaque ‘black-box’ outputs.</w:t>
      </w:r>
    </w:p>
    <w:p w14:paraId="1F1A40E2" w14:textId="77777777" w:rsidR="00B22CD6" w:rsidRPr="001C6BC5" w:rsidRDefault="00B22CD6" w:rsidP="00F219A5">
      <w:pPr>
        <w:spacing w:after="0" w:line="240" w:lineRule="auto"/>
        <w:jc w:val="both"/>
        <w:rPr>
          <w:rFonts w:asciiTheme="majorBidi" w:hAnsiTheme="majorBidi" w:cstheme="majorBidi"/>
          <w:sz w:val="16"/>
          <w:szCs w:val="16"/>
        </w:rPr>
      </w:pPr>
    </w:p>
    <w:p w14:paraId="21D01810" w14:textId="77777777"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4.3 Case Examples</w:t>
      </w:r>
    </w:p>
    <w:p w14:paraId="2E7380BE" w14:textId="77777777" w:rsidR="00B22CD6" w:rsidRPr="001C6BC5" w:rsidRDefault="00B22CD6" w:rsidP="00F219A5">
      <w:pPr>
        <w:spacing w:after="0" w:line="240" w:lineRule="auto"/>
        <w:jc w:val="both"/>
        <w:rPr>
          <w:rFonts w:asciiTheme="majorBidi" w:hAnsiTheme="majorBidi" w:cstheme="majorBidi"/>
          <w:sz w:val="16"/>
          <w:szCs w:val="16"/>
        </w:rPr>
      </w:pPr>
    </w:p>
    <w:p w14:paraId="4737E8E4" w14:textId="6CC3CBEF"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In intensive care unit (ICU) settings, where patients are at high risk of multidrug-resistance infections, AI-driven CDSS have shown particular value. These systems can rapidly </w:t>
      </w:r>
      <w:proofErr w:type="spellStart"/>
      <w:r w:rsidRPr="001C6BC5">
        <w:rPr>
          <w:rFonts w:asciiTheme="majorBidi" w:hAnsiTheme="majorBidi" w:cstheme="majorBidi"/>
          <w:sz w:val="20"/>
          <w:szCs w:val="20"/>
        </w:rPr>
        <w:t>analyse</w:t>
      </w:r>
      <w:proofErr w:type="spellEnd"/>
      <w:r w:rsidRPr="001C6BC5">
        <w:rPr>
          <w:rFonts w:asciiTheme="majorBidi" w:hAnsiTheme="majorBidi" w:cstheme="majorBidi"/>
          <w:sz w:val="20"/>
          <w:szCs w:val="20"/>
        </w:rPr>
        <w:t xml:space="preserve"> complex patient data and, in some </w:t>
      </w:r>
      <w:r w:rsidRPr="001C6BC5">
        <w:rPr>
          <w:rFonts w:asciiTheme="majorBidi" w:hAnsiTheme="majorBidi" w:cstheme="majorBidi"/>
          <w:sz w:val="20"/>
          <w:szCs w:val="20"/>
        </w:rPr>
        <w:lastRenderedPageBreak/>
        <w:t xml:space="preserve">implementations, have been shown to improve the appropriateness of initial antibiotic therapy, reducing delays in effective treatment that are strongly associated with increased mortality in critically ill patients, where delays in appropriate treatment can significantly increase mortality </w:t>
      </w:r>
      <w:r w:rsidR="004F2526" w:rsidRPr="001C6BC5">
        <w:rPr>
          <w:rFonts w:asciiTheme="majorBidi" w:hAnsiTheme="majorBidi" w:cstheme="majorBidi"/>
          <w:sz w:val="20"/>
          <w:szCs w:val="20"/>
        </w:rPr>
        <w:t>(Komorowski et al., 2018)</w:t>
      </w:r>
      <w:r w:rsidRPr="001C6BC5">
        <w:rPr>
          <w:rFonts w:asciiTheme="majorBidi" w:hAnsiTheme="majorBidi" w:cstheme="majorBidi"/>
          <w:sz w:val="20"/>
          <w:szCs w:val="20"/>
        </w:rPr>
        <w:t>.</w:t>
      </w:r>
    </w:p>
    <w:p w14:paraId="58054B8B" w14:textId="77777777" w:rsidR="00B22CD6" w:rsidRPr="001C6BC5" w:rsidRDefault="00B22CD6" w:rsidP="00F219A5">
      <w:pPr>
        <w:spacing w:after="0" w:line="240" w:lineRule="auto"/>
        <w:jc w:val="both"/>
        <w:rPr>
          <w:rFonts w:asciiTheme="majorBidi" w:hAnsiTheme="majorBidi" w:cstheme="majorBidi"/>
          <w:sz w:val="20"/>
          <w:szCs w:val="20"/>
        </w:rPr>
      </w:pPr>
    </w:p>
    <w:p w14:paraId="46EE4CD1" w14:textId="4DE18128"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In sepsis management, AI-based CDSS have demonstrated dual functionality by supporting both early detection and antimicrobial decision-making. For example, predictive models integrated into hospital systems can identify early signs of sepsis several hours before clinical recognition, enabling earlier intervention. Simultaneously, resistance prediction tools can guide empiric antibiotic selection based on patient-specific risk and local resistance patterns, improving the likelihood of appropriate initial therapy. This combined diagnostic and therapeutic support is particularly valuable in sepsis, where each hour of delay in effective treatment is associated with increased mortality</w:t>
      </w:r>
      <w:r w:rsidR="004F2526" w:rsidRPr="001C6BC5">
        <w:rPr>
          <w:rFonts w:asciiTheme="majorBidi" w:hAnsiTheme="majorBidi" w:cstheme="majorBidi"/>
          <w:sz w:val="20"/>
          <w:szCs w:val="20"/>
        </w:rPr>
        <w:t xml:space="preserve"> (Baur et al., 2017)</w:t>
      </w:r>
      <w:r w:rsidRPr="001C6BC5">
        <w:rPr>
          <w:rFonts w:asciiTheme="majorBidi" w:hAnsiTheme="majorBidi" w:cstheme="majorBidi"/>
          <w:sz w:val="20"/>
          <w:szCs w:val="20"/>
        </w:rPr>
        <w:t>.</w:t>
      </w:r>
    </w:p>
    <w:p w14:paraId="73206656" w14:textId="77777777" w:rsidR="00B22CD6" w:rsidRPr="001C6BC5" w:rsidRDefault="00B22CD6" w:rsidP="00F219A5">
      <w:pPr>
        <w:spacing w:after="0" w:line="240" w:lineRule="auto"/>
        <w:jc w:val="both"/>
        <w:rPr>
          <w:rFonts w:asciiTheme="majorBidi" w:hAnsiTheme="majorBidi" w:cstheme="majorBidi"/>
          <w:sz w:val="20"/>
          <w:szCs w:val="20"/>
        </w:rPr>
      </w:pPr>
    </w:p>
    <w:p w14:paraId="3F05CD89" w14:textId="7734E0AA"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Overall, these real-world applications highlight the potential of AI-driven CDSS to bridge the gap </w:t>
      </w:r>
      <w:r w:rsidR="00B22CD6" w:rsidRPr="001C6BC5">
        <w:rPr>
          <w:rFonts w:asciiTheme="majorBidi" w:hAnsiTheme="majorBidi" w:cstheme="majorBidi"/>
          <w:sz w:val="20"/>
          <w:szCs w:val="20"/>
        </w:rPr>
        <w:t xml:space="preserve">                    </w:t>
      </w:r>
      <w:r w:rsidRPr="001C6BC5">
        <w:rPr>
          <w:rFonts w:asciiTheme="majorBidi" w:hAnsiTheme="majorBidi" w:cstheme="majorBidi"/>
          <w:sz w:val="20"/>
          <w:szCs w:val="20"/>
        </w:rPr>
        <w:t>between predictive modelling and clinical practice. When effectively implemented, these systems can</w:t>
      </w:r>
      <w:r w:rsidR="00B22CD6" w:rsidRPr="001C6BC5">
        <w:rPr>
          <w:rFonts w:asciiTheme="majorBidi" w:hAnsiTheme="majorBidi" w:cstheme="majorBidi"/>
          <w:sz w:val="20"/>
          <w:szCs w:val="20"/>
        </w:rPr>
        <w:t xml:space="preserve">              </w:t>
      </w:r>
      <w:r w:rsidRPr="001C6BC5">
        <w:rPr>
          <w:rFonts w:asciiTheme="majorBidi" w:hAnsiTheme="majorBidi" w:cstheme="majorBidi"/>
          <w:sz w:val="20"/>
          <w:szCs w:val="20"/>
        </w:rPr>
        <w:t xml:space="preserve"> transform antimicrobial stewardship from a retrospective oversight process into a proactive, real-time clinical intervention.</w:t>
      </w:r>
    </w:p>
    <w:p w14:paraId="2043F359" w14:textId="77777777" w:rsidR="00A25153" w:rsidRPr="001C6BC5" w:rsidRDefault="00A25153" w:rsidP="00F219A5">
      <w:pPr>
        <w:spacing w:after="0" w:line="240" w:lineRule="auto"/>
        <w:jc w:val="both"/>
        <w:rPr>
          <w:rFonts w:asciiTheme="majorBidi" w:hAnsiTheme="majorBidi" w:cstheme="majorBidi"/>
          <w:sz w:val="20"/>
          <w:szCs w:val="20"/>
        </w:rPr>
      </w:pPr>
    </w:p>
    <w:p w14:paraId="69DB620A" w14:textId="77777777"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5. AI vs Traditional Stewardship Approaches</w:t>
      </w:r>
    </w:p>
    <w:p w14:paraId="60FC38E2" w14:textId="77777777" w:rsidR="00B22CD6" w:rsidRPr="001C6BC5" w:rsidRDefault="00B22CD6" w:rsidP="00F219A5">
      <w:pPr>
        <w:spacing w:after="0" w:line="240" w:lineRule="auto"/>
        <w:jc w:val="both"/>
        <w:rPr>
          <w:rFonts w:asciiTheme="majorBidi" w:hAnsiTheme="majorBidi" w:cstheme="majorBidi"/>
          <w:b/>
          <w:bCs/>
          <w:sz w:val="20"/>
          <w:szCs w:val="20"/>
        </w:rPr>
      </w:pPr>
    </w:p>
    <w:p w14:paraId="204D0921" w14:textId="5171714C"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 xml:space="preserve">5.1 Speed and </w:t>
      </w:r>
      <w:r w:rsidR="00B22CD6" w:rsidRPr="001C6BC5">
        <w:rPr>
          <w:rFonts w:asciiTheme="majorBidi" w:hAnsiTheme="majorBidi" w:cstheme="majorBidi"/>
          <w:b/>
          <w:bCs/>
        </w:rPr>
        <w:t xml:space="preserve">Accuracy </w:t>
      </w:r>
    </w:p>
    <w:p w14:paraId="0E79B94D" w14:textId="77777777" w:rsidR="00B22CD6" w:rsidRPr="001C6BC5" w:rsidRDefault="00B22CD6" w:rsidP="00F219A5">
      <w:pPr>
        <w:spacing w:after="0" w:line="240" w:lineRule="auto"/>
        <w:jc w:val="both"/>
        <w:rPr>
          <w:rFonts w:asciiTheme="majorBidi" w:hAnsiTheme="majorBidi" w:cstheme="majorBidi"/>
          <w:sz w:val="20"/>
          <w:szCs w:val="20"/>
        </w:rPr>
      </w:pPr>
    </w:p>
    <w:p w14:paraId="4663F541" w14:textId="471F151C"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Traditional antimicrobial stewardship relies heavily on microbiological confirmation, with culture and sensitivity results typically requiring 48-72 hours. During this interval, clinicians and sensitivity results typically requiring 48-72 hours. During this interval, clinicians must depend on empirical therapy, often using broad-spectrum antibiotics under uncertainty. While effective in urgent scenarios, this approach can contribute to inappropriate antibiotic use and accelerate resistance.</w:t>
      </w:r>
    </w:p>
    <w:p w14:paraId="0F339B89" w14:textId="77777777" w:rsidR="00B22CD6" w:rsidRPr="001C6BC5" w:rsidRDefault="00B22CD6" w:rsidP="00F219A5">
      <w:pPr>
        <w:spacing w:after="0" w:line="240" w:lineRule="auto"/>
        <w:jc w:val="both"/>
        <w:rPr>
          <w:rFonts w:asciiTheme="majorBidi" w:hAnsiTheme="majorBidi" w:cstheme="majorBidi"/>
          <w:sz w:val="20"/>
          <w:szCs w:val="20"/>
        </w:rPr>
      </w:pPr>
    </w:p>
    <w:p w14:paraId="03C49649" w14:textId="3DAC7C3D"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In contrast AI-driven models enable early prediction of antimicrobial resistance using available clinical; laboratory, and historical data. These systems can generate probabilistic susceptibility profiles in significantly reduced timeframes, ranging from minutes to hours depending on model design and computational infrastructure, allowing clinicians to initiate more precise therapy before definitive laboratory confirmation</w:t>
      </w:r>
      <w:r w:rsidR="004F2526" w:rsidRPr="001C6BC5">
        <w:rPr>
          <w:rFonts w:asciiTheme="majorBidi" w:hAnsiTheme="majorBidi" w:cstheme="majorBidi"/>
          <w:sz w:val="20"/>
          <w:szCs w:val="20"/>
        </w:rPr>
        <w:t xml:space="preserve"> (Rawson et al., 2021)</w:t>
      </w:r>
      <w:r w:rsidRPr="001C6BC5">
        <w:rPr>
          <w:rFonts w:asciiTheme="majorBidi" w:hAnsiTheme="majorBidi" w:cstheme="majorBidi"/>
          <w:sz w:val="20"/>
          <w:szCs w:val="20"/>
        </w:rPr>
        <w:t>.  This shift from delayed confirmation to real-time prediction represents a fundamental advancement in stewardship practice.</w:t>
      </w:r>
    </w:p>
    <w:p w14:paraId="156DC713" w14:textId="77777777" w:rsidR="00B22CD6" w:rsidRPr="001C6BC5" w:rsidRDefault="00B22CD6" w:rsidP="00F219A5">
      <w:pPr>
        <w:spacing w:after="0" w:line="240" w:lineRule="auto"/>
        <w:jc w:val="both"/>
        <w:rPr>
          <w:rFonts w:asciiTheme="majorBidi" w:hAnsiTheme="majorBidi" w:cstheme="majorBidi"/>
          <w:sz w:val="20"/>
          <w:szCs w:val="20"/>
        </w:rPr>
      </w:pPr>
    </w:p>
    <w:p w14:paraId="27C60F91" w14:textId="1281CC00"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 xml:space="preserve">5.2 Reduction in </w:t>
      </w:r>
      <w:r w:rsidR="00B22CD6" w:rsidRPr="001C6BC5">
        <w:rPr>
          <w:rFonts w:asciiTheme="majorBidi" w:hAnsiTheme="majorBidi" w:cstheme="majorBidi"/>
          <w:b/>
          <w:bCs/>
        </w:rPr>
        <w:t xml:space="preserve">Empirical </w:t>
      </w:r>
      <w:r w:rsidRPr="001C6BC5">
        <w:rPr>
          <w:rFonts w:asciiTheme="majorBidi" w:hAnsiTheme="majorBidi" w:cstheme="majorBidi"/>
          <w:b/>
          <w:bCs/>
        </w:rPr>
        <w:t>Therapy</w:t>
      </w:r>
    </w:p>
    <w:p w14:paraId="197F9510" w14:textId="77777777" w:rsidR="00B22CD6" w:rsidRPr="001C6BC5" w:rsidRDefault="00B22CD6" w:rsidP="00F219A5">
      <w:pPr>
        <w:spacing w:after="0" w:line="240" w:lineRule="auto"/>
        <w:jc w:val="both"/>
        <w:rPr>
          <w:rFonts w:asciiTheme="majorBidi" w:hAnsiTheme="majorBidi" w:cstheme="majorBidi"/>
          <w:sz w:val="20"/>
          <w:szCs w:val="20"/>
        </w:rPr>
      </w:pPr>
    </w:p>
    <w:p w14:paraId="744FE51F" w14:textId="2F7AEA69"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One of the most significant advantages of AI in antimicrobial stewardship is its potential to reduce reliance on empirical therapy. Empirical therapy, while often necessary in urgent clinical situations, is not always safe, as inappropriate initial antibiotic selection has been associated with increased mortality, prolonged hospital stay, and higher healthcare costs, particularly in severe infections such as sepsis. By providing patient-specific predictions, AI systems support targeted antibiotic selection from the outset, minimizing unnecessary exposure to broad-spectrum agents </w:t>
      </w:r>
      <w:r w:rsidR="004F2526" w:rsidRPr="001C6BC5">
        <w:rPr>
          <w:rFonts w:asciiTheme="majorBidi" w:hAnsiTheme="majorBidi" w:cstheme="majorBidi"/>
          <w:sz w:val="20"/>
          <w:szCs w:val="20"/>
        </w:rPr>
        <w:t>(Bates et al. n.d.)</w:t>
      </w:r>
      <w:r w:rsidRPr="001C6BC5">
        <w:rPr>
          <w:rFonts w:asciiTheme="majorBidi" w:hAnsiTheme="majorBidi" w:cstheme="majorBidi"/>
          <w:sz w:val="20"/>
          <w:szCs w:val="20"/>
        </w:rPr>
        <w:t>.</w:t>
      </w:r>
    </w:p>
    <w:p w14:paraId="62A4F80A" w14:textId="77777777" w:rsidR="00B22CD6" w:rsidRPr="001C6BC5" w:rsidRDefault="00B22CD6" w:rsidP="00F219A5">
      <w:pPr>
        <w:spacing w:after="0" w:line="240" w:lineRule="auto"/>
        <w:jc w:val="both"/>
        <w:rPr>
          <w:rFonts w:asciiTheme="majorBidi" w:hAnsiTheme="majorBidi" w:cstheme="majorBidi"/>
          <w:sz w:val="20"/>
          <w:szCs w:val="20"/>
        </w:rPr>
      </w:pPr>
    </w:p>
    <w:p w14:paraId="3815BFFD"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This not only improves individual patient outcomes but also reduces selective pressure that drives resistance at the population level. AI-assisted prescribing has been associated with improved guideline adherence, optimized antibiotic selection, and more appropriate treatment duration.</w:t>
      </w:r>
    </w:p>
    <w:p w14:paraId="5A8859D4" w14:textId="77777777" w:rsidR="00B22CD6" w:rsidRPr="001C6BC5" w:rsidRDefault="00B22CD6" w:rsidP="00F219A5">
      <w:pPr>
        <w:spacing w:after="0" w:line="240" w:lineRule="auto"/>
        <w:jc w:val="both"/>
        <w:rPr>
          <w:rFonts w:asciiTheme="majorBidi" w:hAnsiTheme="majorBidi" w:cstheme="majorBidi"/>
          <w:sz w:val="20"/>
          <w:szCs w:val="20"/>
        </w:rPr>
      </w:pPr>
    </w:p>
    <w:p w14:paraId="35730BC7" w14:textId="53227B38" w:rsidR="00A25153" w:rsidRPr="001C6BC5" w:rsidRDefault="00B22CD6" w:rsidP="00F219A5">
      <w:pPr>
        <w:spacing w:after="0" w:line="240" w:lineRule="auto"/>
        <w:jc w:val="center"/>
        <w:rPr>
          <w:rFonts w:asciiTheme="majorBidi" w:hAnsiTheme="majorBidi" w:cstheme="majorBidi"/>
          <w:b/>
          <w:bCs/>
          <w:sz w:val="20"/>
          <w:szCs w:val="20"/>
        </w:rPr>
      </w:pPr>
      <w:r w:rsidRPr="001C6BC5">
        <w:rPr>
          <w:rFonts w:asciiTheme="majorBidi" w:hAnsiTheme="majorBidi" w:cstheme="majorBidi"/>
          <w:b/>
          <w:bCs/>
          <w:sz w:val="20"/>
          <w:szCs w:val="20"/>
        </w:rPr>
        <w:t xml:space="preserve">Table </w:t>
      </w:r>
      <w:r w:rsidR="00A25153" w:rsidRPr="001C6BC5">
        <w:rPr>
          <w:rFonts w:asciiTheme="majorBidi" w:hAnsiTheme="majorBidi" w:cstheme="majorBidi"/>
          <w:b/>
          <w:bCs/>
          <w:sz w:val="20"/>
          <w:szCs w:val="20"/>
        </w:rPr>
        <w:t>2. Comparative Perspective: AI vs Traditional Stewardship</w:t>
      </w:r>
    </w:p>
    <w:p w14:paraId="4400B789" w14:textId="77777777" w:rsidR="00B22CD6" w:rsidRPr="001C6BC5" w:rsidRDefault="00B22CD6" w:rsidP="00F219A5">
      <w:pPr>
        <w:spacing w:after="0" w:line="240" w:lineRule="auto"/>
        <w:jc w:val="both"/>
        <w:rPr>
          <w:rFonts w:asciiTheme="majorBidi" w:hAnsiTheme="majorBidi" w:cstheme="majorBidi"/>
          <w:b/>
          <w:bCs/>
          <w:sz w:val="20"/>
          <w:szCs w:val="20"/>
        </w:rPr>
      </w:pPr>
    </w:p>
    <w:tbl>
      <w:tblPr>
        <w:tblStyle w:val="TableGrid"/>
        <w:tblW w:w="49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6"/>
        <w:gridCol w:w="3420"/>
        <w:gridCol w:w="3644"/>
      </w:tblGrid>
      <w:tr w:rsidR="00AB0D5D" w:rsidRPr="001C6BC5" w14:paraId="7DBF549B" w14:textId="77777777" w:rsidTr="00B22CD6">
        <w:trPr>
          <w:trHeight w:val="20"/>
          <w:jc w:val="center"/>
        </w:trPr>
        <w:tc>
          <w:tcPr>
            <w:tcW w:w="1996" w:type="dxa"/>
            <w:tcBorders>
              <w:bottom w:val="single" w:sz="4" w:space="0" w:color="auto"/>
            </w:tcBorders>
          </w:tcPr>
          <w:p w14:paraId="199793FB" w14:textId="77777777" w:rsidR="00A25153" w:rsidRPr="001C6BC5" w:rsidRDefault="00A25153" w:rsidP="00F219A5">
            <w:pPr>
              <w:rPr>
                <w:rFonts w:asciiTheme="majorBidi" w:hAnsiTheme="majorBidi" w:cstheme="majorBidi"/>
                <w:b/>
                <w:bCs/>
                <w:sz w:val="20"/>
                <w:szCs w:val="20"/>
              </w:rPr>
            </w:pPr>
            <w:r w:rsidRPr="001C6BC5">
              <w:rPr>
                <w:rFonts w:asciiTheme="majorBidi" w:hAnsiTheme="majorBidi" w:cstheme="majorBidi"/>
                <w:b/>
                <w:bCs/>
                <w:sz w:val="20"/>
                <w:szCs w:val="20"/>
              </w:rPr>
              <w:t xml:space="preserve">Aspect </w:t>
            </w:r>
          </w:p>
        </w:tc>
        <w:tc>
          <w:tcPr>
            <w:tcW w:w="3420" w:type="dxa"/>
            <w:tcBorders>
              <w:bottom w:val="single" w:sz="4" w:space="0" w:color="auto"/>
            </w:tcBorders>
          </w:tcPr>
          <w:p w14:paraId="6714D0FC" w14:textId="77777777" w:rsidR="00A25153" w:rsidRPr="001C6BC5" w:rsidRDefault="00A25153" w:rsidP="00F219A5">
            <w:pPr>
              <w:rPr>
                <w:rFonts w:asciiTheme="majorBidi" w:hAnsiTheme="majorBidi" w:cstheme="majorBidi"/>
                <w:b/>
                <w:bCs/>
                <w:sz w:val="20"/>
                <w:szCs w:val="20"/>
              </w:rPr>
            </w:pPr>
            <w:r w:rsidRPr="001C6BC5">
              <w:rPr>
                <w:rFonts w:asciiTheme="majorBidi" w:hAnsiTheme="majorBidi" w:cstheme="majorBidi"/>
                <w:b/>
                <w:bCs/>
                <w:sz w:val="20"/>
                <w:szCs w:val="20"/>
              </w:rPr>
              <w:t>Traditional Stewardship</w:t>
            </w:r>
          </w:p>
        </w:tc>
        <w:tc>
          <w:tcPr>
            <w:tcW w:w="3644" w:type="dxa"/>
            <w:tcBorders>
              <w:bottom w:val="single" w:sz="4" w:space="0" w:color="auto"/>
            </w:tcBorders>
          </w:tcPr>
          <w:p w14:paraId="24A2345B" w14:textId="77777777" w:rsidR="00A25153" w:rsidRPr="001C6BC5" w:rsidRDefault="00A25153" w:rsidP="00F219A5">
            <w:pPr>
              <w:rPr>
                <w:rFonts w:asciiTheme="majorBidi" w:hAnsiTheme="majorBidi" w:cstheme="majorBidi"/>
                <w:sz w:val="20"/>
                <w:szCs w:val="20"/>
              </w:rPr>
            </w:pPr>
            <w:r w:rsidRPr="001C6BC5">
              <w:rPr>
                <w:rFonts w:asciiTheme="majorBidi" w:hAnsiTheme="majorBidi" w:cstheme="majorBidi"/>
                <w:b/>
                <w:bCs/>
                <w:sz w:val="20"/>
                <w:szCs w:val="20"/>
              </w:rPr>
              <w:t>AI- Driven Stewardship</w:t>
            </w:r>
          </w:p>
        </w:tc>
      </w:tr>
      <w:tr w:rsidR="00AB0D5D" w:rsidRPr="001C6BC5" w14:paraId="06D1CFBE" w14:textId="77777777" w:rsidTr="00B22CD6">
        <w:trPr>
          <w:trHeight w:val="20"/>
          <w:jc w:val="center"/>
        </w:trPr>
        <w:tc>
          <w:tcPr>
            <w:tcW w:w="1996" w:type="dxa"/>
            <w:tcBorders>
              <w:top w:val="single" w:sz="4" w:space="0" w:color="auto"/>
              <w:bottom w:val="nil"/>
            </w:tcBorders>
          </w:tcPr>
          <w:p w14:paraId="301DBE70" w14:textId="77777777" w:rsidR="00A25153" w:rsidRPr="001C6BC5" w:rsidRDefault="00A25153" w:rsidP="00F219A5">
            <w:pPr>
              <w:rPr>
                <w:rFonts w:asciiTheme="majorBidi" w:hAnsiTheme="majorBidi" w:cstheme="majorBidi"/>
                <w:sz w:val="20"/>
                <w:szCs w:val="20"/>
              </w:rPr>
            </w:pPr>
            <w:r w:rsidRPr="001C6BC5">
              <w:rPr>
                <w:rFonts w:asciiTheme="majorBidi" w:hAnsiTheme="majorBidi" w:cstheme="majorBidi"/>
                <w:sz w:val="20"/>
                <w:szCs w:val="20"/>
              </w:rPr>
              <w:t>Decision Timing</w:t>
            </w:r>
          </w:p>
        </w:tc>
        <w:tc>
          <w:tcPr>
            <w:tcW w:w="3420" w:type="dxa"/>
            <w:tcBorders>
              <w:top w:val="single" w:sz="4" w:space="0" w:color="auto"/>
              <w:bottom w:val="nil"/>
            </w:tcBorders>
          </w:tcPr>
          <w:p w14:paraId="001F998C" w14:textId="77777777" w:rsidR="00A25153" w:rsidRPr="001C6BC5" w:rsidRDefault="00A25153" w:rsidP="00F219A5">
            <w:pPr>
              <w:rPr>
                <w:rFonts w:asciiTheme="majorBidi" w:hAnsiTheme="majorBidi" w:cstheme="majorBidi"/>
                <w:sz w:val="20"/>
                <w:szCs w:val="20"/>
                <w:lang w:val="fr-FR"/>
              </w:rPr>
            </w:pPr>
            <w:r w:rsidRPr="001C6BC5">
              <w:rPr>
                <w:rFonts w:asciiTheme="majorBidi" w:hAnsiTheme="majorBidi" w:cstheme="majorBidi"/>
                <w:sz w:val="20"/>
                <w:szCs w:val="20"/>
                <w:lang w:val="fr-FR"/>
              </w:rPr>
              <w:t>Post-</w:t>
            </w:r>
            <w:proofErr w:type="spellStart"/>
            <w:r w:rsidRPr="001C6BC5">
              <w:rPr>
                <w:rFonts w:asciiTheme="majorBidi" w:hAnsiTheme="majorBidi" w:cstheme="majorBidi"/>
                <w:sz w:val="20"/>
                <w:szCs w:val="20"/>
                <w:lang w:val="fr-FR"/>
              </w:rPr>
              <w:t>lab</w:t>
            </w:r>
            <w:proofErr w:type="spellEnd"/>
            <w:r w:rsidRPr="001C6BC5">
              <w:rPr>
                <w:rFonts w:asciiTheme="majorBidi" w:hAnsiTheme="majorBidi" w:cstheme="majorBidi"/>
                <w:sz w:val="20"/>
                <w:szCs w:val="20"/>
                <w:lang w:val="fr-FR"/>
              </w:rPr>
              <w:t xml:space="preserve"> conformation (48-72hrs </w:t>
            </w:r>
            <w:proofErr w:type="spellStart"/>
            <w:r w:rsidRPr="001C6BC5">
              <w:rPr>
                <w:rFonts w:asciiTheme="majorBidi" w:hAnsiTheme="majorBidi" w:cstheme="majorBidi"/>
                <w:sz w:val="20"/>
                <w:szCs w:val="20"/>
                <w:lang w:val="fr-FR"/>
              </w:rPr>
              <w:t>delay</w:t>
            </w:r>
            <w:proofErr w:type="spellEnd"/>
            <w:r w:rsidRPr="001C6BC5">
              <w:rPr>
                <w:rFonts w:asciiTheme="majorBidi" w:hAnsiTheme="majorBidi" w:cstheme="majorBidi"/>
                <w:sz w:val="20"/>
                <w:szCs w:val="20"/>
                <w:lang w:val="fr-FR"/>
              </w:rPr>
              <w:t>)</w:t>
            </w:r>
          </w:p>
        </w:tc>
        <w:tc>
          <w:tcPr>
            <w:tcW w:w="3644" w:type="dxa"/>
            <w:tcBorders>
              <w:top w:val="single" w:sz="4" w:space="0" w:color="auto"/>
              <w:bottom w:val="nil"/>
            </w:tcBorders>
          </w:tcPr>
          <w:p w14:paraId="57522E94" w14:textId="77777777" w:rsidR="00A25153" w:rsidRPr="001C6BC5" w:rsidRDefault="00A25153" w:rsidP="00F219A5">
            <w:pPr>
              <w:rPr>
                <w:rFonts w:asciiTheme="majorBidi" w:hAnsiTheme="majorBidi" w:cstheme="majorBidi"/>
                <w:sz w:val="20"/>
                <w:szCs w:val="20"/>
              </w:rPr>
            </w:pPr>
            <w:r w:rsidRPr="001C6BC5">
              <w:rPr>
                <w:rFonts w:asciiTheme="majorBidi" w:hAnsiTheme="majorBidi" w:cstheme="majorBidi"/>
                <w:sz w:val="20"/>
                <w:szCs w:val="20"/>
              </w:rPr>
              <w:t>Real-time or early prediction</w:t>
            </w:r>
          </w:p>
        </w:tc>
      </w:tr>
      <w:tr w:rsidR="00AB0D5D" w:rsidRPr="001C6BC5" w14:paraId="5B013578" w14:textId="77777777" w:rsidTr="00B22CD6">
        <w:trPr>
          <w:trHeight w:val="20"/>
          <w:jc w:val="center"/>
        </w:trPr>
        <w:tc>
          <w:tcPr>
            <w:tcW w:w="1996" w:type="dxa"/>
            <w:tcBorders>
              <w:top w:val="nil"/>
            </w:tcBorders>
          </w:tcPr>
          <w:p w14:paraId="3A1B6412" w14:textId="77777777" w:rsidR="00A25153" w:rsidRPr="001C6BC5" w:rsidRDefault="00A25153" w:rsidP="00F219A5">
            <w:pPr>
              <w:rPr>
                <w:rFonts w:asciiTheme="majorBidi" w:hAnsiTheme="majorBidi" w:cstheme="majorBidi"/>
                <w:sz w:val="20"/>
                <w:szCs w:val="20"/>
              </w:rPr>
            </w:pPr>
            <w:r w:rsidRPr="001C6BC5">
              <w:rPr>
                <w:rFonts w:asciiTheme="majorBidi" w:hAnsiTheme="majorBidi" w:cstheme="majorBidi"/>
                <w:sz w:val="20"/>
                <w:szCs w:val="20"/>
              </w:rPr>
              <w:t>Antibiotic Selection</w:t>
            </w:r>
          </w:p>
        </w:tc>
        <w:tc>
          <w:tcPr>
            <w:tcW w:w="3420" w:type="dxa"/>
            <w:tcBorders>
              <w:top w:val="nil"/>
            </w:tcBorders>
          </w:tcPr>
          <w:p w14:paraId="47DADB48" w14:textId="77777777" w:rsidR="00A25153" w:rsidRPr="001C6BC5" w:rsidRDefault="00A25153" w:rsidP="00F219A5">
            <w:pPr>
              <w:rPr>
                <w:rFonts w:asciiTheme="majorBidi" w:hAnsiTheme="majorBidi" w:cstheme="majorBidi"/>
                <w:sz w:val="20"/>
                <w:szCs w:val="20"/>
              </w:rPr>
            </w:pPr>
            <w:r w:rsidRPr="001C6BC5">
              <w:rPr>
                <w:rFonts w:asciiTheme="majorBidi" w:hAnsiTheme="majorBidi" w:cstheme="majorBidi"/>
                <w:sz w:val="20"/>
                <w:szCs w:val="20"/>
              </w:rPr>
              <w:t>Empirical, often broad-spectrum</w:t>
            </w:r>
          </w:p>
        </w:tc>
        <w:tc>
          <w:tcPr>
            <w:tcW w:w="3644" w:type="dxa"/>
            <w:tcBorders>
              <w:top w:val="nil"/>
            </w:tcBorders>
          </w:tcPr>
          <w:p w14:paraId="321B43B5" w14:textId="77777777" w:rsidR="00A25153" w:rsidRPr="001C6BC5" w:rsidRDefault="00A25153" w:rsidP="00F219A5">
            <w:pPr>
              <w:rPr>
                <w:rFonts w:asciiTheme="majorBidi" w:hAnsiTheme="majorBidi" w:cstheme="majorBidi"/>
                <w:sz w:val="20"/>
                <w:szCs w:val="20"/>
              </w:rPr>
            </w:pPr>
            <w:r w:rsidRPr="001C6BC5">
              <w:rPr>
                <w:rFonts w:asciiTheme="majorBidi" w:hAnsiTheme="majorBidi" w:cstheme="majorBidi"/>
                <w:sz w:val="20"/>
                <w:szCs w:val="20"/>
              </w:rPr>
              <w:t>Targeted, patient-specific</w:t>
            </w:r>
          </w:p>
        </w:tc>
      </w:tr>
      <w:tr w:rsidR="00AB0D5D" w:rsidRPr="001C6BC5" w14:paraId="3363B75E" w14:textId="77777777" w:rsidTr="00B22CD6">
        <w:trPr>
          <w:trHeight w:val="20"/>
          <w:jc w:val="center"/>
        </w:trPr>
        <w:tc>
          <w:tcPr>
            <w:tcW w:w="1996" w:type="dxa"/>
          </w:tcPr>
          <w:p w14:paraId="586D17B5" w14:textId="77777777" w:rsidR="00A25153" w:rsidRPr="001C6BC5" w:rsidRDefault="00A25153" w:rsidP="00F219A5">
            <w:pPr>
              <w:rPr>
                <w:rFonts w:asciiTheme="majorBidi" w:hAnsiTheme="majorBidi" w:cstheme="majorBidi"/>
                <w:sz w:val="20"/>
                <w:szCs w:val="20"/>
              </w:rPr>
            </w:pPr>
            <w:r w:rsidRPr="001C6BC5">
              <w:rPr>
                <w:rFonts w:asciiTheme="majorBidi" w:hAnsiTheme="majorBidi" w:cstheme="majorBidi"/>
                <w:sz w:val="20"/>
                <w:szCs w:val="20"/>
              </w:rPr>
              <w:t>Data Utilization</w:t>
            </w:r>
          </w:p>
        </w:tc>
        <w:tc>
          <w:tcPr>
            <w:tcW w:w="3420" w:type="dxa"/>
          </w:tcPr>
          <w:p w14:paraId="6C334FCC" w14:textId="77777777" w:rsidR="00A25153" w:rsidRPr="001C6BC5" w:rsidRDefault="00A25153" w:rsidP="00F219A5">
            <w:pPr>
              <w:rPr>
                <w:rFonts w:asciiTheme="majorBidi" w:hAnsiTheme="majorBidi" w:cstheme="majorBidi"/>
                <w:sz w:val="20"/>
                <w:szCs w:val="20"/>
              </w:rPr>
            </w:pPr>
            <w:r w:rsidRPr="001C6BC5">
              <w:rPr>
                <w:rFonts w:asciiTheme="majorBidi" w:hAnsiTheme="majorBidi" w:cstheme="majorBidi"/>
                <w:sz w:val="20"/>
                <w:szCs w:val="20"/>
              </w:rPr>
              <w:t xml:space="preserve">Limited, manual interpretation </w:t>
            </w:r>
          </w:p>
        </w:tc>
        <w:tc>
          <w:tcPr>
            <w:tcW w:w="3644" w:type="dxa"/>
          </w:tcPr>
          <w:p w14:paraId="0789252C" w14:textId="77777777" w:rsidR="00A25153" w:rsidRPr="001C6BC5" w:rsidRDefault="00A25153" w:rsidP="00F219A5">
            <w:pPr>
              <w:rPr>
                <w:rFonts w:asciiTheme="majorBidi" w:hAnsiTheme="majorBidi" w:cstheme="majorBidi"/>
                <w:sz w:val="20"/>
                <w:szCs w:val="20"/>
              </w:rPr>
            </w:pPr>
            <w:r w:rsidRPr="001C6BC5">
              <w:rPr>
                <w:rFonts w:asciiTheme="majorBidi" w:hAnsiTheme="majorBidi" w:cstheme="majorBidi"/>
                <w:sz w:val="20"/>
                <w:szCs w:val="20"/>
              </w:rPr>
              <w:t>Multidimensional, automated analysis</w:t>
            </w:r>
          </w:p>
        </w:tc>
      </w:tr>
      <w:tr w:rsidR="00AB0D5D" w:rsidRPr="001C6BC5" w14:paraId="4C9B6FF1" w14:textId="77777777" w:rsidTr="00B22CD6">
        <w:trPr>
          <w:trHeight w:val="20"/>
          <w:jc w:val="center"/>
        </w:trPr>
        <w:tc>
          <w:tcPr>
            <w:tcW w:w="1996" w:type="dxa"/>
          </w:tcPr>
          <w:p w14:paraId="137E5556" w14:textId="77777777" w:rsidR="00A25153" w:rsidRPr="001C6BC5" w:rsidRDefault="00A25153" w:rsidP="00F219A5">
            <w:pPr>
              <w:rPr>
                <w:rFonts w:asciiTheme="majorBidi" w:hAnsiTheme="majorBidi" w:cstheme="majorBidi"/>
                <w:sz w:val="20"/>
                <w:szCs w:val="20"/>
              </w:rPr>
            </w:pPr>
            <w:r w:rsidRPr="001C6BC5">
              <w:rPr>
                <w:rFonts w:asciiTheme="majorBidi" w:hAnsiTheme="majorBidi" w:cstheme="majorBidi"/>
                <w:sz w:val="20"/>
                <w:szCs w:val="20"/>
              </w:rPr>
              <w:t>Adaptability</w:t>
            </w:r>
          </w:p>
        </w:tc>
        <w:tc>
          <w:tcPr>
            <w:tcW w:w="3420" w:type="dxa"/>
          </w:tcPr>
          <w:p w14:paraId="709C82F4" w14:textId="77777777" w:rsidR="00A25153" w:rsidRPr="001C6BC5" w:rsidRDefault="00A25153" w:rsidP="00F219A5">
            <w:pPr>
              <w:rPr>
                <w:rFonts w:asciiTheme="majorBidi" w:hAnsiTheme="majorBidi" w:cstheme="majorBidi"/>
                <w:sz w:val="20"/>
                <w:szCs w:val="20"/>
              </w:rPr>
            </w:pPr>
            <w:r w:rsidRPr="001C6BC5">
              <w:rPr>
                <w:rFonts w:asciiTheme="majorBidi" w:hAnsiTheme="majorBidi" w:cstheme="majorBidi"/>
                <w:sz w:val="20"/>
                <w:szCs w:val="20"/>
              </w:rPr>
              <w:t>Static guidelines</w:t>
            </w:r>
          </w:p>
        </w:tc>
        <w:tc>
          <w:tcPr>
            <w:tcW w:w="3644" w:type="dxa"/>
          </w:tcPr>
          <w:p w14:paraId="3F58CC1E" w14:textId="77777777" w:rsidR="00A25153" w:rsidRPr="001C6BC5" w:rsidRDefault="00A25153" w:rsidP="00F219A5">
            <w:pPr>
              <w:rPr>
                <w:rFonts w:asciiTheme="majorBidi" w:hAnsiTheme="majorBidi" w:cstheme="majorBidi"/>
                <w:sz w:val="20"/>
                <w:szCs w:val="20"/>
              </w:rPr>
            </w:pPr>
            <w:r w:rsidRPr="001C6BC5">
              <w:rPr>
                <w:rFonts w:asciiTheme="majorBidi" w:hAnsiTheme="majorBidi" w:cstheme="majorBidi"/>
                <w:sz w:val="20"/>
                <w:szCs w:val="20"/>
              </w:rPr>
              <w:t>Dynamic, continuously learning</w:t>
            </w:r>
          </w:p>
        </w:tc>
      </w:tr>
      <w:tr w:rsidR="00AB0D5D" w:rsidRPr="001C6BC5" w14:paraId="3D20E776" w14:textId="77777777" w:rsidTr="00B22CD6">
        <w:trPr>
          <w:trHeight w:val="20"/>
          <w:jc w:val="center"/>
        </w:trPr>
        <w:tc>
          <w:tcPr>
            <w:tcW w:w="1996" w:type="dxa"/>
          </w:tcPr>
          <w:p w14:paraId="0222509D" w14:textId="77777777" w:rsidR="00A25153" w:rsidRPr="001C6BC5" w:rsidRDefault="00A25153" w:rsidP="00F219A5">
            <w:pPr>
              <w:rPr>
                <w:rFonts w:asciiTheme="majorBidi" w:hAnsiTheme="majorBidi" w:cstheme="majorBidi"/>
                <w:sz w:val="20"/>
                <w:szCs w:val="20"/>
              </w:rPr>
            </w:pPr>
            <w:r w:rsidRPr="001C6BC5">
              <w:rPr>
                <w:rFonts w:asciiTheme="majorBidi" w:hAnsiTheme="majorBidi" w:cstheme="majorBidi"/>
                <w:sz w:val="20"/>
                <w:szCs w:val="20"/>
              </w:rPr>
              <w:t xml:space="preserve">Resistance Control </w:t>
            </w:r>
          </w:p>
        </w:tc>
        <w:tc>
          <w:tcPr>
            <w:tcW w:w="3420" w:type="dxa"/>
          </w:tcPr>
          <w:p w14:paraId="797B4543" w14:textId="77777777" w:rsidR="00A25153" w:rsidRPr="001C6BC5" w:rsidRDefault="00A25153" w:rsidP="00F219A5">
            <w:pPr>
              <w:rPr>
                <w:rFonts w:asciiTheme="majorBidi" w:hAnsiTheme="majorBidi" w:cstheme="majorBidi"/>
                <w:sz w:val="20"/>
                <w:szCs w:val="20"/>
              </w:rPr>
            </w:pPr>
            <w:r w:rsidRPr="001C6BC5">
              <w:rPr>
                <w:rFonts w:asciiTheme="majorBidi" w:hAnsiTheme="majorBidi" w:cstheme="majorBidi"/>
                <w:sz w:val="20"/>
                <w:szCs w:val="20"/>
              </w:rPr>
              <w:t>Reactive approach</w:t>
            </w:r>
          </w:p>
        </w:tc>
        <w:tc>
          <w:tcPr>
            <w:tcW w:w="3644" w:type="dxa"/>
          </w:tcPr>
          <w:p w14:paraId="091D1E52" w14:textId="77777777" w:rsidR="00A25153" w:rsidRPr="001C6BC5" w:rsidRDefault="00A25153" w:rsidP="00F219A5">
            <w:pPr>
              <w:rPr>
                <w:rFonts w:asciiTheme="majorBidi" w:hAnsiTheme="majorBidi" w:cstheme="majorBidi"/>
                <w:sz w:val="20"/>
                <w:szCs w:val="20"/>
              </w:rPr>
            </w:pPr>
            <w:r w:rsidRPr="001C6BC5">
              <w:rPr>
                <w:rFonts w:asciiTheme="majorBidi" w:hAnsiTheme="majorBidi" w:cstheme="majorBidi"/>
                <w:sz w:val="20"/>
                <w:szCs w:val="20"/>
              </w:rPr>
              <w:t>Predictive and preventive approach</w:t>
            </w:r>
          </w:p>
        </w:tc>
      </w:tr>
    </w:tbl>
    <w:p w14:paraId="325C7222" w14:textId="4A6C8DC2" w:rsidR="00A25153" w:rsidRPr="001C6BC5" w:rsidRDefault="00A25153" w:rsidP="00F219A5">
      <w:pPr>
        <w:spacing w:after="0" w:line="240" w:lineRule="auto"/>
        <w:jc w:val="center"/>
        <w:rPr>
          <w:rFonts w:asciiTheme="majorBidi" w:hAnsiTheme="majorBidi" w:cstheme="majorBidi"/>
          <w:i/>
          <w:iCs/>
          <w:sz w:val="18"/>
          <w:szCs w:val="18"/>
        </w:rPr>
      </w:pPr>
      <w:r w:rsidRPr="001C6BC5">
        <w:rPr>
          <w:rFonts w:asciiTheme="majorBidi" w:hAnsiTheme="majorBidi" w:cstheme="majorBidi"/>
          <w:i/>
          <w:iCs/>
          <w:sz w:val="18"/>
          <w:szCs w:val="18"/>
        </w:rPr>
        <w:t xml:space="preserve">What this really shows is a shift in philosophy: traditional stewardship </w:t>
      </w:r>
      <w:proofErr w:type="gramStart"/>
      <w:r w:rsidRPr="001C6BC5">
        <w:rPr>
          <w:rFonts w:asciiTheme="majorBidi" w:hAnsiTheme="majorBidi" w:cstheme="majorBidi"/>
          <w:i/>
          <w:iCs/>
          <w:sz w:val="18"/>
          <w:szCs w:val="18"/>
        </w:rPr>
        <w:t>react</w:t>
      </w:r>
      <w:proofErr w:type="gramEnd"/>
      <w:r w:rsidRPr="001C6BC5">
        <w:rPr>
          <w:rFonts w:asciiTheme="majorBidi" w:hAnsiTheme="majorBidi" w:cstheme="majorBidi"/>
          <w:i/>
          <w:iCs/>
          <w:sz w:val="18"/>
          <w:szCs w:val="18"/>
        </w:rPr>
        <w:t xml:space="preserve"> to resistance, while AI aims to anticipate it</w:t>
      </w:r>
    </w:p>
    <w:p w14:paraId="6D8D2090" w14:textId="77777777" w:rsidR="00B22CD6" w:rsidRPr="001C6BC5" w:rsidRDefault="00B22CD6" w:rsidP="00F219A5">
      <w:pPr>
        <w:spacing w:after="0" w:line="240" w:lineRule="auto"/>
        <w:jc w:val="both"/>
        <w:rPr>
          <w:rFonts w:asciiTheme="majorBidi" w:hAnsiTheme="majorBidi" w:cstheme="majorBidi"/>
          <w:b/>
          <w:bCs/>
          <w:sz w:val="14"/>
          <w:szCs w:val="14"/>
        </w:rPr>
      </w:pPr>
    </w:p>
    <w:p w14:paraId="1F935B25" w14:textId="429BC97A"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lastRenderedPageBreak/>
        <w:t>5.3 Limitations Compared to Clinician Judgment</w:t>
      </w:r>
    </w:p>
    <w:p w14:paraId="4235917B" w14:textId="77777777" w:rsidR="00B22CD6" w:rsidRPr="001C6BC5" w:rsidRDefault="00B22CD6" w:rsidP="00F219A5">
      <w:pPr>
        <w:spacing w:after="0" w:line="240" w:lineRule="auto"/>
        <w:jc w:val="both"/>
        <w:rPr>
          <w:rFonts w:asciiTheme="majorBidi" w:hAnsiTheme="majorBidi" w:cstheme="majorBidi"/>
          <w:sz w:val="20"/>
          <w:szCs w:val="20"/>
        </w:rPr>
      </w:pPr>
    </w:p>
    <w:p w14:paraId="731C5748" w14:textId="5A272CF2"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Despite its advantages, AI does not fully replace clinical expertise. One of the key limitations is its restricted ability to interpret complex clinical context. Factors such as subtle patient symptoms, socioeconomic considerations, and may not be fully captured in structured datasets </w:t>
      </w:r>
      <w:r w:rsidR="004F2526" w:rsidRPr="001C6BC5">
        <w:rPr>
          <w:rFonts w:asciiTheme="majorBidi" w:hAnsiTheme="majorBidi" w:cstheme="majorBidi"/>
          <w:sz w:val="20"/>
          <w:szCs w:val="20"/>
        </w:rPr>
        <w:t>(Kelly et al., 2019)</w:t>
      </w:r>
      <w:r w:rsidRPr="001C6BC5">
        <w:rPr>
          <w:rFonts w:asciiTheme="majorBidi" w:hAnsiTheme="majorBidi" w:cstheme="majorBidi"/>
          <w:sz w:val="20"/>
          <w:szCs w:val="20"/>
        </w:rPr>
        <w:t>.</w:t>
      </w:r>
    </w:p>
    <w:p w14:paraId="29387272" w14:textId="77777777" w:rsidR="001C6BC5" w:rsidRPr="001C6BC5" w:rsidRDefault="001C6BC5" w:rsidP="00F219A5">
      <w:pPr>
        <w:spacing w:after="0" w:line="240" w:lineRule="auto"/>
        <w:jc w:val="both"/>
        <w:rPr>
          <w:rFonts w:asciiTheme="majorBidi" w:hAnsiTheme="majorBidi" w:cstheme="majorBidi"/>
          <w:sz w:val="20"/>
          <w:szCs w:val="20"/>
        </w:rPr>
      </w:pPr>
    </w:p>
    <w:p w14:paraId="214D51E1" w14:textId="4E831F59"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Additionally, AI models may struggle in cases where data are incomplete, inconsistent or not representative of the target population. Over-reliance on algorithm outputs without critical evaluation can lead to inappropriate decisions, particularly in atypical or rare clinical scenarios</w:t>
      </w:r>
      <w:r w:rsidR="00B22CD6" w:rsidRPr="001C6BC5">
        <w:rPr>
          <w:rFonts w:asciiTheme="majorBidi" w:hAnsiTheme="majorBidi" w:cstheme="majorBidi"/>
          <w:sz w:val="20"/>
          <w:szCs w:val="20"/>
        </w:rPr>
        <w:t>.</w:t>
      </w:r>
      <w:r w:rsidRPr="001C6BC5">
        <w:rPr>
          <w:rFonts w:asciiTheme="majorBidi" w:hAnsiTheme="majorBidi" w:cstheme="majorBidi"/>
          <w:sz w:val="20"/>
          <w:szCs w:val="20"/>
        </w:rPr>
        <w:t xml:space="preserve"> </w:t>
      </w:r>
    </w:p>
    <w:p w14:paraId="50D9CC65" w14:textId="77777777" w:rsidR="00B22CD6" w:rsidRPr="001C6BC5" w:rsidRDefault="00B22CD6" w:rsidP="00F219A5">
      <w:pPr>
        <w:spacing w:after="0" w:line="240" w:lineRule="auto"/>
        <w:jc w:val="both"/>
        <w:rPr>
          <w:rFonts w:asciiTheme="majorBidi" w:hAnsiTheme="majorBidi" w:cstheme="majorBidi"/>
          <w:sz w:val="20"/>
          <w:szCs w:val="20"/>
        </w:rPr>
      </w:pPr>
    </w:p>
    <w:p w14:paraId="2E4AEDCB"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Therefore, AI should be viewed as a decision-support tool rather than a replacement for clinicians. A “human-in-the-loop” approach is particularly important, where AI-generated recommendations are interpreted and validated by clinicians before implementation. This model combines the computational strength of AI with clinical expertise, ensuring that decisions remain contextually appropriate, safe, and aligned with individual patient needs.</w:t>
      </w:r>
    </w:p>
    <w:p w14:paraId="6C5EDBB4" w14:textId="77777777" w:rsidR="00B22CD6" w:rsidRPr="001C6BC5" w:rsidRDefault="00B22CD6" w:rsidP="00F219A5">
      <w:pPr>
        <w:spacing w:after="0" w:line="240" w:lineRule="auto"/>
        <w:jc w:val="both"/>
        <w:rPr>
          <w:rFonts w:asciiTheme="majorBidi" w:hAnsiTheme="majorBidi" w:cstheme="majorBidi"/>
          <w:sz w:val="20"/>
          <w:szCs w:val="20"/>
        </w:rPr>
      </w:pPr>
    </w:p>
    <w:p w14:paraId="0B916269" w14:textId="77777777"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6. Challenges and Limitations</w:t>
      </w:r>
    </w:p>
    <w:p w14:paraId="27DDA57A" w14:textId="77777777" w:rsidR="00B22CD6" w:rsidRPr="001C6BC5" w:rsidRDefault="00B22CD6" w:rsidP="00F219A5">
      <w:pPr>
        <w:spacing w:after="0" w:line="240" w:lineRule="auto"/>
        <w:jc w:val="both"/>
        <w:rPr>
          <w:rFonts w:asciiTheme="majorBidi" w:hAnsiTheme="majorBidi" w:cstheme="majorBidi"/>
          <w:b/>
          <w:bCs/>
          <w:sz w:val="20"/>
          <w:szCs w:val="20"/>
        </w:rPr>
      </w:pPr>
    </w:p>
    <w:p w14:paraId="63790B91" w14:textId="438A3345"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6.1 Data-Related Issues</w:t>
      </w:r>
    </w:p>
    <w:p w14:paraId="68669C61" w14:textId="77777777" w:rsidR="00B22CD6" w:rsidRPr="001C6BC5" w:rsidRDefault="00B22CD6" w:rsidP="00F219A5">
      <w:pPr>
        <w:spacing w:after="0" w:line="240" w:lineRule="auto"/>
        <w:jc w:val="both"/>
        <w:rPr>
          <w:rFonts w:asciiTheme="majorBidi" w:hAnsiTheme="majorBidi" w:cstheme="majorBidi"/>
          <w:sz w:val="20"/>
          <w:szCs w:val="20"/>
        </w:rPr>
      </w:pPr>
    </w:p>
    <w:p w14:paraId="35BDA712" w14:textId="0E1F78B6"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The reliability of AI </w:t>
      </w:r>
      <w:proofErr w:type="gramStart"/>
      <w:r w:rsidRPr="001C6BC5">
        <w:rPr>
          <w:rFonts w:asciiTheme="majorBidi" w:hAnsiTheme="majorBidi" w:cstheme="majorBidi"/>
          <w:sz w:val="20"/>
          <w:szCs w:val="20"/>
        </w:rPr>
        <w:t>models</w:t>
      </w:r>
      <w:proofErr w:type="gramEnd"/>
      <w:r w:rsidRPr="001C6BC5">
        <w:rPr>
          <w:rFonts w:asciiTheme="majorBidi" w:hAnsiTheme="majorBidi" w:cstheme="majorBidi"/>
          <w:sz w:val="20"/>
          <w:szCs w:val="20"/>
        </w:rPr>
        <w:t xml:space="preserve"> antimicrobial stewardship is fundamentally constrained by the quality of underlying data. Many existing models are trained on datasets that are incomplete, inconsistent, or institution-specific, limiting their generalizability. Missing data common in real-world clinical settings can distort model training and lead to inaccurate predictions if not properly handled </w:t>
      </w:r>
      <w:r w:rsidR="004F2526" w:rsidRPr="001C6BC5">
        <w:rPr>
          <w:rFonts w:asciiTheme="majorBidi" w:hAnsiTheme="majorBidi" w:cstheme="majorBidi"/>
          <w:sz w:val="20"/>
          <w:szCs w:val="20"/>
        </w:rPr>
        <w:t>(Wiens et al. n.d.)</w:t>
      </w:r>
      <w:r w:rsidRPr="001C6BC5">
        <w:rPr>
          <w:rFonts w:asciiTheme="majorBidi" w:hAnsiTheme="majorBidi" w:cstheme="majorBidi"/>
          <w:sz w:val="20"/>
          <w:szCs w:val="20"/>
        </w:rPr>
        <w:t>.</w:t>
      </w:r>
    </w:p>
    <w:p w14:paraId="1A1E78EE" w14:textId="77777777" w:rsidR="00B22CD6" w:rsidRPr="001C6BC5" w:rsidRDefault="00B22CD6" w:rsidP="00F219A5">
      <w:pPr>
        <w:spacing w:after="0" w:line="240" w:lineRule="auto"/>
        <w:jc w:val="both"/>
        <w:rPr>
          <w:rFonts w:asciiTheme="majorBidi" w:hAnsiTheme="majorBidi" w:cstheme="majorBidi"/>
          <w:sz w:val="20"/>
          <w:szCs w:val="20"/>
        </w:rPr>
      </w:pPr>
    </w:p>
    <w:p w14:paraId="47BF3EDF"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Bias is another critical concern. Datasets often reflect local prescribing patterns, patient demographics, and healthcare infrastructure, which may not translate across regions. As a result, models trained in one setting may perform poorly or unfairly in another, raising concerns about equity and applicability. These challenges highlight the need for standardized, high- quality, and diverse datasets to ensure robust model performance. </w:t>
      </w:r>
    </w:p>
    <w:p w14:paraId="33C9B634" w14:textId="77777777" w:rsidR="00B22CD6" w:rsidRPr="001C6BC5" w:rsidRDefault="00B22CD6" w:rsidP="00F219A5">
      <w:pPr>
        <w:spacing w:after="0" w:line="240" w:lineRule="auto"/>
        <w:jc w:val="both"/>
        <w:rPr>
          <w:rFonts w:asciiTheme="majorBidi" w:hAnsiTheme="majorBidi" w:cstheme="majorBidi"/>
          <w:sz w:val="20"/>
          <w:szCs w:val="20"/>
        </w:rPr>
      </w:pPr>
    </w:p>
    <w:p w14:paraId="0EDBC8FB" w14:textId="77777777"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6.2 Model Limitations</w:t>
      </w:r>
    </w:p>
    <w:p w14:paraId="5ECA281B" w14:textId="77777777" w:rsidR="00B22CD6" w:rsidRPr="001C6BC5" w:rsidRDefault="00B22CD6" w:rsidP="00F219A5">
      <w:pPr>
        <w:spacing w:after="0" w:line="240" w:lineRule="auto"/>
        <w:jc w:val="both"/>
        <w:rPr>
          <w:rFonts w:asciiTheme="majorBidi" w:hAnsiTheme="majorBidi" w:cstheme="majorBidi"/>
          <w:sz w:val="20"/>
          <w:szCs w:val="20"/>
        </w:rPr>
      </w:pPr>
    </w:p>
    <w:p w14:paraId="20BA021A" w14:textId="5C5FB5B1"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From a technical perspective, AI models are susceptible to several limitations that affect their clinical reliability. Overfitting is a common issue, where models perform well on training data but fail to generalize to new, unseen datasets. This is particularly problematic in AMR prediction, where resistance patterns evolve over time </w:t>
      </w:r>
      <w:r w:rsidR="004F2526" w:rsidRPr="001C6BC5">
        <w:rPr>
          <w:rFonts w:asciiTheme="majorBidi" w:hAnsiTheme="majorBidi" w:cstheme="majorBidi"/>
          <w:sz w:val="20"/>
          <w:szCs w:val="20"/>
        </w:rPr>
        <w:t xml:space="preserve">(Beam &amp; </w:t>
      </w:r>
      <w:proofErr w:type="spellStart"/>
      <w:r w:rsidR="004F2526" w:rsidRPr="001C6BC5">
        <w:rPr>
          <w:rFonts w:asciiTheme="majorBidi" w:hAnsiTheme="majorBidi" w:cstheme="majorBidi"/>
          <w:sz w:val="20"/>
          <w:szCs w:val="20"/>
        </w:rPr>
        <w:t>Kohane</w:t>
      </w:r>
      <w:proofErr w:type="spellEnd"/>
      <w:r w:rsidR="004F2526" w:rsidRPr="001C6BC5">
        <w:rPr>
          <w:rFonts w:asciiTheme="majorBidi" w:hAnsiTheme="majorBidi" w:cstheme="majorBidi"/>
          <w:sz w:val="20"/>
          <w:szCs w:val="20"/>
        </w:rPr>
        <w:t>, 2018)</w:t>
      </w:r>
      <w:r w:rsidRPr="001C6BC5">
        <w:rPr>
          <w:rFonts w:asciiTheme="majorBidi" w:hAnsiTheme="majorBidi" w:cstheme="majorBidi"/>
          <w:sz w:val="20"/>
          <w:szCs w:val="20"/>
        </w:rPr>
        <w:t>.</w:t>
      </w:r>
    </w:p>
    <w:p w14:paraId="7A709DF8" w14:textId="77777777" w:rsidR="00B22CD6" w:rsidRPr="001C6BC5" w:rsidRDefault="00B22CD6" w:rsidP="00F219A5">
      <w:pPr>
        <w:spacing w:after="0" w:line="240" w:lineRule="auto"/>
        <w:jc w:val="both"/>
        <w:rPr>
          <w:rFonts w:asciiTheme="majorBidi" w:hAnsiTheme="majorBidi" w:cstheme="majorBidi"/>
          <w:sz w:val="20"/>
          <w:szCs w:val="20"/>
        </w:rPr>
      </w:pPr>
    </w:p>
    <w:p w14:paraId="1AEF6CC6"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Another important challenge is model drift, where the performance of AI models declines over time due to changes in antimicrobial resistance patterns, clinical practices, and patient populations. As resistance profiles evolve, models trained on historical data may become less accurate if not regularly updated. Continuous monitoring, periodic retraining, and incorporation of recent data are therefore essential to maintain model reliability in clinical settings.</w:t>
      </w:r>
    </w:p>
    <w:p w14:paraId="559D167B" w14:textId="77777777" w:rsidR="00B22CD6" w:rsidRPr="001C6BC5" w:rsidRDefault="00B22CD6" w:rsidP="00F219A5">
      <w:pPr>
        <w:spacing w:after="0" w:line="240" w:lineRule="auto"/>
        <w:jc w:val="both"/>
        <w:rPr>
          <w:rFonts w:asciiTheme="majorBidi" w:hAnsiTheme="majorBidi" w:cstheme="majorBidi"/>
          <w:sz w:val="20"/>
          <w:szCs w:val="20"/>
        </w:rPr>
      </w:pPr>
    </w:p>
    <w:p w14:paraId="6E2CACC9" w14:textId="7ED2B8F6"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The “black-box” nature of complex models, particularly deep learning systems, can limit clinical adoption, as clinicians may find it difficult to understand how recommendations are generated. However, recent advances in explainable artificial intelligence (XAI), including techniques such as </w:t>
      </w:r>
      <w:proofErr w:type="spellStart"/>
      <w:r w:rsidRPr="001C6BC5">
        <w:rPr>
          <w:rFonts w:asciiTheme="majorBidi" w:hAnsiTheme="majorBidi" w:cstheme="majorBidi"/>
          <w:sz w:val="20"/>
          <w:szCs w:val="20"/>
        </w:rPr>
        <w:t>SHapley</w:t>
      </w:r>
      <w:proofErr w:type="spellEnd"/>
      <w:r w:rsidRPr="001C6BC5">
        <w:rPr>
          <w:rFonts w:asciiTheme="majorBidi" w:hAnsiTheme="majorBidi" w:cstheme="majorBidi"/>
          <w:sz w:val="20"/>
          <w:szCs w:val="20"/>
        </w:rPr>
        <w:t xml:space="preserve"> Additive </w:t>
      </w:r>
      <w:proofErr w:type="spellStart"/>
      <w:r w:rsidRPr="001C6BC5">
        <w:rPr>
          <w:rFonts w:asciiTheme="majorBidi" w:hAnsiTheme="majorBidi" w:cstheme="majorBidi"/>
          <w:sz w:val="20"/>
          <w:szCs w:val="20"/>
        </w:rPr>
        <w:t>exPlanations</w:t>
      </w:r>
      <w:proofErr w:type="spellEnd"/>
      <w:r w:rsidRPr="001C6BC5">
        <w:rPr>
          <w:rFonts w:asciiTheme="majorBidi" w:hAnsiTheme="majorBidi" w:cstheme="majorBidi"/>
          <w:sz w:val="20"/>
          <w:szCs w:val="20"/>
        </w:rPr>
        <w:t xml:space="preserve"> (SHAP) and Local Interpretable Model-Agnostic Explanations (LIME), have improved transparency by enabling interpretation of model outputs and feature importance. These approaches help bridge the gap between predictive performance and clinical trust, supporting safer integration into decision-making processes </w:t>
      </w:r>
      <w:r w:rsidR="004F2526" w:rsidRPr="001C6BC5">
        <w:rPr>
          <w:rFonts w:asciiTheme="majorBidi" w:hAnsiTheme="majorBidi" w:cstheme="majorBidi"/>
          <w:sz w:val="20"/>
          <w:szCs w:val="20"/>
        </w:rPr>
        <w:t>(Ribeiro et al., 2016)</w:t>
      </w:r>
      <w:r w:rsidRPr="001C6BC5">
        <w:rPr>
          <w:rFonts w:asciiTheme="majorBidi" w:hAnsiTheme="majorBidi" w:cstheme="majorBidi"/>
          <w:sz w:val="20"/>
          <w:szCs w:val="20"/>
        </w:rPr>
        <w:t>.</w:t>
      </w:r>
    </w:p>
    <w:p w14:paraId="3501BD04" w14:textId="77777777" w:rsidR="00B22CD6" w:rsidRPr="001C6BC5" w:rsidRDefault="00B22CD6" w:rsidP="00F219A5">
      <w:pPr>
        <w:spacing w:after="0" w:line="240" w:lineRule="auto"/>
        <w:jc w:val="both"/>
        <w:rPr>
          <w:rFonts w:asciiTheme="majorBidi" w:hAnsiTheme="majorBidi" w:cstheme="majorBidi"/>
          <w:sz w:val="16"/>
          <w:szCs w:val="16"/>
        </w:rPr>
      </w:pPr>
    </w:p>
    <w:p w14:paraId="42ED9873" w14:textId="77777777"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6.3 Clinical Barriers</w:t>
      </w:r>
    </w:p>
    <w:p w14:paraId="59044EA1" w14:textId="77777777" w:rsidR="00B22CD6" w:rsidRPr="001C6BC5" w:rsidRDefault="00B22CD6" w:rsidP="00F219A5">
      <w:pPr>
        <w:spacing w:after="0" w:line="240" w:lineRule="auto"/>
        <w:jc w:val="both"/>
        <w:rPr>
          <w:rFonts w:asciiTheme="majorBidi" w:hAnsiTheme="majorBidi" w:cstheme="majorBidi"/>
          <w:sz w:val="16"/>
          <w:szCs w:val="16"/>
        </w:rPr>
      </w:pPr>
    </w:p>
    <w:p w14:paraId="2FFE5051" w14:textId="1EBD236A"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Even technically robust models face challenges at the point of care. One of the primary barriers is the lack of trust among clinicians. Healthcare professionals are often hesitant to rely on algorithmic recommendations, particularly when the reasoning behind those recommendations is not transparent </w:t>
      </w:r>
      <w:r w:rsidR="004F2526" w:rsidRPr="001C6BC5">
        <w:rPr>
          <w:rFonts w:asciiTheme="majorBidi" w:hAnsiTheme="majorBidi" w:cstheme="majorBidi"/>
          <w:sz w:val="20"/>
          <w:szCs w:val="20"/>
        </w:rPr>
        <w:t>(</w:t>
      </w:r>
      <w:proofErr w:type="spellStart"/>
      <w:r w:rsidR="004F2526" w:rsidRPr="001C6BC5">
        <w:rPr>
          <w:rFonts w:asciiTheme="majorBidi" w:hAnsiTheme="majorBidi" w:cstheme="majorBidi"/>
          <w:sz w:val="20"/>
          <w:szCs w:val="20"/>
        </w:rPr>
        <w:t>Shortliffe</w:t>
      </w:r>
      <w:proofErr w:type="spellEnd"/>
      <w:r w:rsidR="004F2526" w:rsidRPr="001C6BC5">
        <w:rPr>
          <w:rFonts w:asciiTheme="majorBidi" w:hAnsiTheme="majorBidi" w:cstheme="majorBidi"/>
          <w:sz w:val="20"/>
          <w:szCs w:val="20"/>
        </w:rPr>
        <w:t xml:space="preserve"> &amp; Sepúlveda, 2018)</w:t>
      </w:r>
      <w:r w:rsidRPr="001C6BC5">
        <w:rPr>
          <w:rFonts w:asciiTheme="majorBidi" w:hAnsiTheme="majorBidi" w:cstheme="majorBidi"/>
          <w:sz w:val="20"/>
          <w:szCs w:val="20"/>
        </w:rPr>
        <w:t>.</w:t>
      </w:r>
    </w:p>
    <w:p w14:paraId="4A5BF36A"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lastRenderedPageBreak/>
        <w:t>Integration into existing hospital systems presents another major obstacle. Many healthcare institutions, especially in low- and multi-income settings, lack the digital infrastructure require to support AI-driven tools. Even in well-equipped settings, poor integration with electronic health records can disrupt workflow and reduce usability.</w:t>
      </w:r>
    </w:p>
    <w:p w14:paraId="57230E8D" w14:textId="77777777" w:rsidR="00B22CD6" w:rsidRPr="001C6BC5" w:rsidRDefault="00B22CD6" w:rsidP="00F219A5">
      <w:pPr>
        <w:spacing w:after="0" w:line="240" w:lineRule="auto"/>
        <w:jc w:val="both"/>
        <w:rPr>
          <w:rFonts w:asciiTheme="majorBidi" w:hAnsiTheme="majorBidi" w:cstheme="majorBidi"/>
          <w:sz w:val="20"/>
          <w:szCs w:val="20"/>
        </w:rPr>
      </w:pPr>
    </w:p>
    <w:p w14:paraId="449607FE"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In addition, training and education of clinicians in AI tools are essential to improve adoption, enabling users to interpret outputs effectively and integrate them into clinical decision-making.</w:t>
      </w:r>
    </w:p>
    <w:p w14:paraId="7C08FA02" w14:textId="77777777" w:rsidR="001C6BC5" w:rsidRPr="001C6BC5" w:rsidRDefault="001C6BC5" w:rsidP="00F219A5">
      <w:pPr>
        <w:spacing w:after="0" w:line="240" w:lineRule="auto"/>
        <w:jc w:val="both"/>
        <w:rPr>
          <w:rFonts w:asciiTheme="majorBidi" w:hAnsiTheme="majorBidi" w:cstheme="majorBidi"/>
          <w:sz w:val="20"/>
          <w:szCs w:val="20"/>
        </w:rPr>
      </w:pPr>
    </w:p>
    <w:p w14:paraId="4ABD76FC"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Additionally, issues such as alert fatigue- where clinicians are overwhelmed by excessive system notifications – can further limit the effectiveness of AI-based interventions.</w:t>
      </w:r>
    </w:p>
    <w:p w14:paraId="3E82B020" w14:textId="77777777" w:rsidR="00B22CD6" w:rsidRPr="001C6BC5" w:rsidRDefault="00B22CD6" w:rsidP="00F219A5">
      <w:pPr>
        <w:spacing w:after="0" w:line="240" w:lineRule="auto"/>
        <w:jc w:val="both"/>
        <w:rPr>
          <w:rFonts w:asciiTheme="majorBidi" w:hAnsiTheme="majorBidi" w:cstheme="majorBidi"/>
          <w:sz w:val="20"/>
          <w:szCs w:val="20"/>
        </w:rPr>
      </w:pPr>
    </w:p>
    <w:p w14:paraId="618A87F9" w14:textId="77777777"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6.4 Ethical and Regulatory Concerns</w:t>
      </w:r>
    </w:p>
    <w:p w14:paraId="68013EB0" w14:textId="77777777" w:rsidR="00B22CD6" w:rsidRPr="001C6BC5" w:rsidRDefault="00B22CD6" w:rsidP="00F219A5">
      <w:pPr>
        <w:spacing w:after="0" w:line="240" w:lineRule="auto"/>
        <w:jc w:val="both"/>
        <w:rPr>
          <w:rFonts w:asciiTheme="majorBidi" w:hAnsiTheme="majorBidi" w:cstheme="majorBidi"/>
          <w:sz w:val="20"/>
          <w:szCs w:val="20"/>
        </w:rPr>
      </w:pPr>
    </w:p>
    <w:p w14:paraId="1A8F40EA" w14:textId="07E49A54"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The deployment of AI in antimicrobial stewardship raises important ethical and regulatory questions. Accountability is a central issue: when </w:t>
      </w:r>
      <w:proofErr w:type="gramStart"/>
      <w:r w:rsidRPr="001C6BC5">
        <w:rPr>
          <w:rFonts w:asciiTheme="majorBidi" w:hAnsiTheme="majorBidi" w:cstheme="majorBidi"/>
          <w:sz w:val="20"/>
          <w:szCs w:val="20"/>
        </w:rPr>
        <w:t>a</w:t>
      </w:r>
      <w:proofErr w:type="gramEnd"/>
      <w:r w:rsidRPr="001C6BC5">
        <w:rPr>
          <w:rFonts w:asciiTheme="majorBidi" w:hAnsiTheme="majorBidi" w:cstheme="majorBidi"/>
          <w:sz w:val="20"/>
          <w:szCs w:val="20"/>
        </w:rPr>
        <w:t xml:space="preserve"> AI system contributes to an incorrect clinical decision, it remains unclear whether responsibility lies with the clinician, the institution, or the developers of the algorithm </w:t>
      </w:r>
      <w:r w:rsidR="004F2526" w:rsidRPr="001C6BC5">
        <w:rPr>
          <w:rFonts w:asciiTheme="majorBidi" w:hAnsiTheme="majorBidi" w:cstheme="majorBidi"/>
          <w:sz w:val="20"/>
          <w:szCs w:val="20"/>
        </w:rPr>
        <w:t>(Price &amp; Cohen, 2019)</w:t>
      </w:r>
      <w:r w:rsidRPr="001C6BC5">
        <w:rPr>
          <w:rFonts w:asciiTheme="majorBidi" w:hAnsiTheme="majorBidi" w:cstheme="majorBidi"/>
          <w:sz w:val="20"/>
          <w:szCs w:val="20"/>
        </w:rPr>
        <w:t xml:space="preserve">. </w:t>
      </w:r>
    </w:p>
    <w:p w14:paraId="2280115F" w14:textId="77777777" w:rsidR="00B22CD6" w:rsidRPr="001C6BC5" w:rsidRDefault="00B22CD6" w:rsidP="00F219A5">
      <w:pPr>
        <w:spacing w:after="0" w:line="240" w:lineRule="auto"/>
        <w:jc w:val="both"/>
        <w:rPr>
          <w:rFonts w:asciiTheme="majorBidi" w:hAnsiTheme="majorBidi" w:cstheme="majorBidi"/>
          <w:sz w:val="20"/>
          <w:szCs w:val="20"/>
        </w:rPr>
      </w:pPr>
    </w:p>
    <w:p w14:paraId="04BA023D"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Regulatory frameworks for artificial intelligence in healthcare are evolving globally. The U.S. Food and Drug Administration (FDA) has introduced guidance for AI/ML-based software as a medical device, while the European Union’s AI Act proposes a risk-based regulatory approach for high-impact AI systems. These frameworks aim to ensure safety, transparency, and accountability, which are essential for the responsible integration of AI into clinical practice.</w:t>
      </w:r>
    </w:p>
    <w:p w14:paraId="45D7C459" w14:textId="77777777" w:rsidR="00B22CD6" w:rsidRPr="001C6BC5" w:rsidRDefault="00B22CD6" w:rsidP="00F219A5">
      <w:pPr>
        <w:spacing w:after="0" w:line="240" w:lineRule="auto"/>
        <w:jc w:val="both"/>
        <w:rPr>
          <w:rFonts w:asciiTheme="majorBidi" w:hAnsiTheme="majorBidi" w:cstheme="majorBidi"/>
          <w:sz w:val="20"/>
          <w:szCs w:val="20"/>
        </w:rPr>
      </w:pPr>
    </w:p>
    <w:p w14:paraId="6EF49E99"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Data privacy is another significant concern. AI systems require access to large volumes of patient data, raising risks related to data security, unauthorized access, and potential misuse. Ensuring compliance with data protection regulations while maintaining model performance is a complex but necessary balance.</w:t>
      </w:r>
    </w:p>
    <w:p w14:paraId="3691499D" w14:textId="77777777" w:rsidR="00B22CD6" w:rsidRPr="001C6BC5" w:rsidRDefault="00B22CD6" w:rsidP="00F219A5">
      <w:pPr>
        <w:spacing w:after="0" w:line="240" w:lineRule="auto"/>
        <w:jc w:val="both"/>
        <w:rPr>
          <w:rFonts w:asciiTheme="majorBidi" w:hAnsiTheme="majorBidi" w:cstheme="majorBidi"/>
          <w:sz w:val="20"/>
          <w:szCs w:val="20"/>
        </w:rPr>
      </w:pPr>
    </w:p>
    <w:p w14:paraId="39753584"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These challenges underscore that successful implementation of AI in antimicrobial stewardship is not solely a technical issue but also a regulatory and ethical one requiring clear guidelines, transparency, and governance frameworks.</w:t>
      </w:r>
    </w:p>
    <w:p w14:paraId="6BCE2B5A" w14:textId="77777777" w:rsidR="00B22CD6" w:rsidRPr="001C6BC5" w:rsidRDefault="00B22CD6" w:rsidP="00F219A5">
      <w:pPr>
        <w:spacing w:after="0" w:line="240" w:lineRule="auto"/>
        <w:jc w:val="both"/>
        <w:rPr>
          <w:rFonts w:asciiTheme="majorBidi" w:hAnsiTheme="majorBidi" w:cstheme="majorBidi"/>
          <w:sz w:val="20"/>
          <w:szCs w:val="20"/>
        </w:rPr>
      </w:pPr>
    </w:p>
    <w:p w14:paraId="6092CC03" w14:textId="77777777"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7. Low-Resource Settings Perspective</w:t>
      </w:r>
    </w:p>
    <w:p w14:paraId="4D34CD95" w14:textId="77777777" w:rsidR="00B22CD6" w:rsidRPr="001C6BC5" w:rsidRDefault="00B22CD6" w:rsidP="00F219A5">
      <w:pPr>
        <w:spacing w:after="0" w:line="240" w:lineRule="auto"/>
        <w:jc w:val="both"/>
        <w:rPr>
          <w:rFonts w:asciiTheme="majorBidi" w:hAnsiTheme="majorBidi" w:cstheme="majorBidi"/>
          <w:b/>
          <w:bCs/>
          <w:sz w:val="20"/>
          <w:szCs w:val="20"/>
        </w:rPr>
      </w:pPr>
    </w:p>
    <w:p w14:paraId="536FBE80" w14:textId="25A00D4B"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b/>
          <w:bCs/>
          <w:sz w:val="20"/>
          <w:szCs w:val="20"/>
        </w:rPr>
        <w:t>Focus: India and Similar Healthcare System</w:t>
      </w:r>
      <w:r w:rsidR="00B22CD6" w:rsidRPr="001C6BC5">
        <w:rPr>
          <w:rFonts w:asciiTheme="majorBidi" w:hAnsiTheme="majorBidi" w:cstheme="majorBidi"/>
          <w:b/>
          <w:bCs/>
          <w:sz w:val="20"/>
          <w:szCs w:val="20"/>
        </w:rPr>
        <w:t xml:space="preserve">: </w:t>
      </w:r>
      <w:r w:rsidR="00B22CD6" w:rsidRPr="001C6BC5">
        <w:rPr>
          <w:rFonts w:asciiTheme="majorBidi" w:hAnsiTheme="majorBidi" w:cstheme="majorBidi"/>
          <w:sz w:val="20"/>
          <w:szCs w:val="20"/>
        </w:rPr>
        <w:t xml:space="preserve">The </w:t>
      </w:r>
      <w:r w:rsidRPr="001C6BC5">
        <w:rPr>
          <w:rFonts w:asciiTheme="majorBidi" w:hAnsiTheme="majorBidi" w:cstheme="majorBidi"/>
          <w:sz w:val="20"/>
          <w:szCs w:val="20"/>
        </w:rPr>
        <w:t xml:space="preserve">application of artificial intelligence in antimicrobial stewardship must be evaluated with realities of low-and middle-income countries (LMICs), where the burden of antimicrobial resistance is often highest, yet healthcare infrastructure remains limited. India </w:t>
      </w:r>
      <w:proofErr w:type="gramStart"/>
      <w:r w:rsidRPr="001C6BC5">
        <w:rPr>
          <w:rFonts w:asciiTheme="majorBidi" w:hAnsiTheme="majorBidi" w:cstheme="majorBidi"/>
          <w:sz w:val="20"/>
          <w:szCs w:val="20"/>
        </w:rPr>
        <w:t>represent</w:t>
      </w:r>
      <w:proofErr w:type="gramEnd"/>
      <w:r w:rsidRPr="001C6BC5">
        <w:rPr>
          <w:rFonts w:asciiTheme="majorBidi" w:hAnsiTheme="majorBidi" w:cstheme="majorBidi"/>
          <w:sz w:val="20"/>
          <w:szCs w:val="20"/>
        </w:rPr>
        <w:t xml:space="preserve"> a particularly relevant case, characterized by high infectious disease prevalence, widespread antibiotic use, and heterogenous healthcare delivery systems.</w:t>
      </w:r>
    </w:p>
    <w:p w14:paraId="3F33EC79" w14:textId="77777777" w:rsidR="00B22CD6" w:rsidRPr="001C6BC5" w:rsidRDefault="00B22CD6" w:rsidP="00F219A5">
      <w:pPr>
        <w:spacing w:after="0" w:line="240" w:lineRule="auto"/>
        <w:jc w:val="both"/>
        <w:rPr>
          <w:rFonts w:asciiTheme="majorBidi" w:hAnsiTheme="majorBidi" w:cstheme="majorBidi"/>
          <w:sz w:val="20"/>
          <w:szCs w:val="20"/>
        </w:rPr>
      </w:pPr>
    </w:p>
    <w:p w14:paraId="00EC0401" w14:textId="4E14DEA5"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A major constraint is limited digital infrastructure. While tertiary care centers may have electronic health record (EHR) systems, many hospital and primary care settings still rely on paper-based documentation. This restricts the availability of structured data required for training and deploying AI models </w:t>
      </w:r>
      <w:r w:rsidR="004F2526" w:rsidRPr="001C6BC5">
        <w:rPr>
          <w:rFonts w:asciiTheme="majorBidi" w:hAnsiTheme="majorBidi" w:cstheme="majorBidi"/>
          <w:sz w:val="20"/>
          <w:szCs w:val="20"/>
        </w:rPr>
        <w:t>(Reddy et al., 2011)</w:t>
      </w:r>
      <w:r w:rsidRPr="001C6BC5">
        <w:rPr>
          <w:rFonts w:asciiTheme="majorBidi" w:hAnsiTheme="majorBidi" w:cstheme="majorBidi"/>
          <w:sz w:val="20"/>
          <w:szCs w:val="20"/>
        </w:rPr>
        <w:t xml:space="preserve">. </w:t>
      </w:r>
    </w:p>
    <w:p w14:paraId="1613D147" w14:textId="77777777" w:rsidR="00B22CD6" w:rsidRPr="001C6BC5" w:rsidRDefault="00B22CD6" w:rsidP="00F219A5">
      <w:pPr>
        <w:spacing w:after="0" w:line="240" w:lineRule="auto"/>
        <w:jc w:val="both"/>
        <w:rPr>
          <w:rFonts w:asciiTheme="majorBidi" w:hAnsiTheme="majorBidi" w:cstheme="majorBidi"/>
          <w:sz w:val="20"/>
          <w:szCs w:val="20"/>
        </w:rPr>
      </w:pPr>
    </w:p>
    <w:p w14:paraId="7962431F" w14:textId="598E7ADA"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Inconsistent access to microbiology services further complicates stewardship efforts. Many healthcare facilities lack timely culture and sensitivity testing, forcing clinicians to depend heavily on empirical therapy. This not only delays targeted treatment but also contributes to the overuse of broad-spectrum antibiotics </w:t>
      </w:r>
      <w:r w:rsidR="004F2526" w:rsidRPr="001C6BC5">
        <w:rPr>
          <w:rFonts w:asciiTheme="majorBidi" w:hAnsiTheme="majorBidi" w:cstheme="majorBidi"/>
          <w:sz w:val="20"/>
          <w:szCs w:val="20"/>
        </w:rPr>
        <w:t>(Laxminarayan et al. n.d.)</w:t>
      </w:r>
      <w:r w:rsidRPr="001C6BC5">
        <w:rPr>
          <w:rFonts w:asciiTheme="majorBidi" w:hAnsiTheme="majorBidi" w:cstheme="majorBidi"/>
          <w:sz w:val="20"/>
          <w:szCs w:val="20"/>
        </w:rPr>
        <w:t xml:space="preserve">. </w:t>
      </w:r>
    </w:p>
    <w:p w14:paraId="515A6597" w14:textId="77777777" w:rsidR="00B22CD6" w:rsidRPr="001C6BC5" w:rsidRDefault="00B22CD6" w:rsidP="00F219A5">
      <w:pPr>
        <w:spacing w:after="0" w:line="240" w:lineRule="auto"/>
        <w:jc w:val="both"/>
        <w:rPr>
          <w:rFonts w:asciiTheme="majorBidi" w:hAnsiTheme="majorBidi" w:cstheme="majorBidi"/>
          <w:sz w:val="20"/>
          <w:szCs w:val="20"/>
        </w:rPr>
      </w:pPr>
    </w:p>
    <w:p w14:paraId="49B5F546" w14:textId="3DAD4643"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High levels of antibiotic misuse remain a critical driver of resistance. Over-the-counter availability, self-medication, and variable prescribing practices across providers create an environment where resistance can rapidly emerge and spread </w:t>
      </w:r>
      <w:r w:rsidR="004F2526" w:rsidRPr="001C6BC5">
        <w:rPr>
          <w:rFonts w:asciiTheme="majorBidi" w:hAnsiTheme="majorBidi" w:cstheme="majorBidi"/>
          <w:sz w:val="20"/>
          <w:szCs w:val="20"/>
        </w:rPr>
        <w:t>(</w:t>
      </w:r>
      <w:proofErr w:type="spellStart"/>
      <w:r w:rsidR="004F2526" w:rsidRPr="001C6BC5">
        <w:rPr>
          <w:rFonts w:asciiTheme="majorBidi" w:hAnsiTheme="majorBidi" w:cstheme="majorBidi"/>
          <w:sz w:val="20"/>
          <w:szCs w:val="20"/>
        </w:rPr>
        <w:t>Kotwani</w:t>
      </w:r>
      <w:proofErr w:type="spellEnd"/>
      <w:r w:rsidR="004F2526" w:rsidRPr="001C6BC5">
        <w:rPr>
          <w:rFonts w:asciiTheme="majorBidi" w:hAnsiTheme="majorBidi" w:cstheme="majorBidi"/>
          <w:sz w:val="20"/>
          <w:szCs w:val="20"/>
        </w:rPr>
        <w:t xml:space="preserve"> &amp; Holloway, 2016)</w:t>
      </w:r>
      <w:r w:rsidRPr="001C6BC5">
        <w:rPr>
          <w:rFonts w:asciiTheme="majorBidi" w:hAnsiTheme="majorBidi" w:cstheme="majorBidi"/>
          <w:sz w:val="20"/>
          <w:szCs w:val="20"/>
        </w:rPr>
        <w:t xml:space="preserve">. </w:t>
      </w:r>
    </w:p>
    <w:p w14:paraId="314F8D3F" w14:textId="77777777" w:rsidR="00B22CD6" w:rsidRPr="001C6BC5" w:rsidRDefault="00B22CD6" w:rsidP="00F219A5">
      <w:pPr>
        <w:spacing w:after="0" w:line="240" w:lineRule="auto"/>
        <w:jc w:val="both"/>
        <w:rPr>
          <w:rFonts w:asciiTheme="majorBidi" w:hAnsiTheme="majorBidi" w:cstheme="majorBidi"/>
          <w:sz w:val="20"/>
          <w:szCs w:val="20"/>
        </w:rPr>
      </w:pPr>
    </w:p>
    <w:p w14:paraId="648F4AEE"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In such contexts, traditional stewardship strategies alone often insufficient.</w:t>
      </w:r>
    </w:p>
    <w:p w14:paraId="62349D22" w14:textId="77777777" w:rsidR="00B22CD6" w:rsidRPr="001C6BC5" w:rsidRDefault="00B22CD6" w:rsidP="00F219A5">
      <w:pPr>
        <w:spacing w:after="0" w:line="240" w:lineRule="auto"/>
        <w:jc w:val="both"/>
        <w:rPr>
          <w:rFonts w:asciiTheme="majorBidi" w:hAnsiTheme="majorBidi" w:cstheme="majorBidi"/>
          <w:sz w:val="20"/>
          <w:szCs w:val="20"/>
        </w:rPr>
      </w:pPr>
    </w:p>
    <w:p w14:paraId="26112B83" w14:textId="2B1199A2"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b/>
          <w:bCs/>
          <w:sz w:val="20"/>
          <w:szCs w:val="20"/>
        </w:rPr>
        <w:t>Contextualizing AI for Low-Resource Settings</w:t>
      </w:r>
      <w:r w:rsidR="00B22CD6" w:rsidRPr="001C6BC5">
        <w:rPr>
          <w:rFonts w:asciiTheme="majorBidi" w:hAnsiTheme="majorBidi" w:cstheme="majorBidi"/>
          <w:b/>
          <w:bCs/>
          <w:sz w:val="20"/>
          <w:szCs w:val="20"/>
        </w:rPr>
        <w:t xml:space="preserve">: </w:t>
      </w:r>
      <w:r w:rsidRPr="001C6BC5">
        <w:rPr>
          <w:rFonts w:asciiTheme="majorBidi" w:hAnsiTheme="majorBidi" w:cstheme="majorBidi"/>
          <w:sz w:val="20"/>
          <w:szCs w:val="20"/>
        </w:rPr>
        <w:t xml:space="preserve">What this really means is that AI solutions developed in high-income settings cannot be directly transplanted into low-resource environments without adaptation. Models that </w:t>
      </w:r>
      <w:r w:rsidRPr="001C6BC5">
        <w:rPr>
          <w:rFonts w:asciiTheme="majorBidi" w:hAnsiTheme="majorBidi" w:cstheme="majorBidi"/>
          <w:sz w:val="20"/>
          <w:szCs w:val="20"/>
        </w:rPr>
        <w:lastRenderedPageBreak/>
        <w:t>depend on large, high-quality datasets and advanced infrastructure may fail in settings where data are sparse or fragmented.</w:t>
      </w:r>
    </w:p>
    <w:p w14:paraId="6C3C063C" w14:textId="77777777" w:rsidR="00B22CD6" w:rsidRPr="001C6BC5" w:rsidRDefault="00B22CD6" w:rsidP="00F219A5">
      <w:pPr>
        <w:spacing w:after="0" w:line="240" w:lineRule="auto"/>
        <w:jc w:val="both"/>
        <w:rPr>
          <w:rFonts w:asciiTheme="majorBidi" w:hAnsiTheme="majorBidi" w:cstheme="majorBidi"/>
          <w:sz w:val="20"/>
          <w:szCs w:val="20"/>
        </w:rPr>
      </w:pPr>
    </w:p>
    <w:p w14:paraId="7BBF18DA"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To be effective in these contexts, AI systems must be: </w:t>
      </w:r>
    </w:p>
    <w:p w14:paraId="78EB6929" w14:textId="77777777" w:rsidR="00B22CD6" w:rsidRPr="001C6BC5" w:rsidRDefault="00B22CD6" w:rsidP="00F219A5">
      <w:pPr>
        <w:spacing w:after="0" w:line="240" w:lineRule="auto"/>
        <w:jc w:val="both"/>
        <w:rPr>
          <w:rFonts w:asciiTheme="majorBidi" w:hAnsiTheme="majorBidi" w:cstheme="majorBidi"/>
          <w:sz w:val="20"/>
          <w:szCs w:val="20"/>
        </w:rPr>
      </w:pPr>
    </w:p>
    <w:p w14:paraId="6D296259" w14:textId="77777777" w:rsidR="00A25153" w:rsidRPr="001C6BC5" w:rsidRDefault="00A25153" w:rsidP="00F219A5">
      <w:pPr>
        <w:pStyle w:val="ListParagraph"/>
        <w:numPr>
          <w:ilvl w:val="0"/>
          <w:numId w:val="2"/>
        </w:numPr>
        <w:spacing w:after="0" w:line="240" w:lineRule="auto"/>
        <w:ind w:left="540"/>
        <w:contextualSpacing w:val="0"/>
        <w:jc w:val="both"/>
        <w:rPr>
          <w:rFonts w:asciiTheme="majorBidi" w:hAnsiTheme="majorBidi" w:cstheme="majorBidi"/>
          <w:sz w:val="20"/>
          <w:szCs w:val="20"/>
        </w:rPr>
      </w:pPr>
      <w:r w:rsidRPr="001C6BC5">
        <w:rPr>
          <w:rFonts w:asciiTheme="majorBidi" w:hAnsiTheme="majorBidi" w:cstheme="majorBidi"/>
          <w:b/>
          <w:bCs/>
          <w:sz w:val="20"/>
          <w:szCs w:val="20"/>
        </w:rPr>
        <w:t>Lightweigh</w:t>
      </w:r>
      <w:r w:rsidRPr="001C6BC5">
        <w:rPr>
          <w:rFonts w:asciiTheme="majorBidi" w:hAnsiTheme="majorBidi" w:cstheme="majorBidi"/>
          <w:sz w:val="20"/>
          <w:szCs w:val="20"/>
        </w:rPr>
        <w:t xml:space="preserve">t: Capable of functioning with minimal computational resources and limited infrastructure </w:t>
      </w:r>
    </w:p>
    <w:p w14:paraId="67AED39C" w14:textId="77777777" w:rsidR="00A25153" w:rsidRPr="001C6BC5" w:rsidRDefault="00A25153" w:rsidP="00F219A5">
      <w:pPr>
        <w:pStyle w:val="ListParagraph"/>
        <w:numPr>
          <w:ilvl w:val="0"/>
          <w:numId w:val="2"/>
        </w:numPr>
        <w:spacing w:after="0" w:line="240" w:lineRule="auto"/>
        <w:ind w:left="540"/>
        <w:contextualSpacing w:val="0"/>
        <w:jc w:val="both"/>
        <w:rPr>
          <w:rFonts w:asciiTheme="majorBidi" w:hAnsiTheme="majorBidi" w:cstheme="majorBidi"/>
          <w:b/>
          <w:bCs/>
          <w:sz w:val="20"/>
          <w:szCs w:val="20"/>
        </w:rPr>
      </w:pPr>
      <w:r w:rsidRPr="001C6BC5">
        <w:rPr>
          <w:rFonts w:asciiTheme="majorBidi" w:hAnsiTheme="majorBidi" w:cstheme="majorBidi"/>
          <w:b/>
          <w:bCs/>
          <w:sz w:val="20"/>
          <w:szCs w:val="20"/>
        </w:rPr>
        <w:t xml:space="preserve">Low-cost: </w:t>
      </w:r>
      <w:r w:rsidRPr="001C6BC5">
        <w:rPr>
          <w:rFonts w:asciiTheme="majorBidi" w:hAnsiTheme="majorBidi" w:cstheme="majorBidi"/>
          <w:sz w:val="20"/>
          <w:szCs w:val="20"/>
        </w:rPr>
        <w:t xml:space="preserve">Affordable to implement and maintain in resource- constrained healthcare systems </w:t>
      </w:r>
    </w:p>
    <w:p w14:paraId="38F8FB70" w14:textId="77777777" w:rsidR="00A25153" w:rsidRPr="001C6BC5" w:rsidRDefault="00A25153" w:rsidP="00F219A5">
      <w:pPr>
        <w:pStyle w:val="ListParagraph"/>
        <w:numPr>
          <w:ilvl w:val="0"/>
          <w:numId w:val="2"/>
        </w:numPr>
        <w:spacing w:after="0" w:line="240" w:lineRule="auto"/>
        <w:ind w:left="540"/>
        <w:contextualSpacing w:val="0"/>
        <w:jc w:val="both"/>
        <w:rPr>
          <w:rFonts w:asciiTheme="majorBidi" w:hAnsiTheme="majorBidi" w:cstheme="majorBidi"/>
          <w:b/>
          <w:bCs/>
          <w:sz w:val="20"/>
          <w:szCs w:val="20"/>
        </w:rPr>
      </w:pPr>
      <w:r w:rsidRPr="001C6BC5">
        <w:rPr>
          <w:rFonts w:asciiTheme="majorBidi" w:hAnsiTheme="majorBidi" w:cstheme="majorBidi"/>
          <w:b/>
          <w:bCs/>
          <w:sz w:val="20"/>
          <w:szCs w:val="20"/>
        </w:rPr>
        <w:t xml:space="preserve">Adaptable to incomplete data: </w:t>
      </w:r>
      <w:r w:rsidRPr="001C6BC5">
        <w:rPr>
          <w:rFonts w:asciiTheme="majorBidi" w:hAnsiTheme="majorBidi" w:cstheme="majorBidi"/>
          <w:sz w:val="20"/>
          <w:szCs w:val="20"/>
        </w:rPr>
        <w:t xml:space="preserve">Designed to handle missing, inconsistent, or partially structured datasets without significant loss of performance </w:t>
      </w:r>
    </w:p>
    <w:p w14:paraId="482F9B08" w14:textId="77777777" w:rsidR="00B22CD6" w:rsidRPr="001C6BC5" w:rsidRDefault="00B22CD6" w:rsidP="00F219A5">
      <w:pPr>
        <w:spacing w:after="0" w:line="240" w:lineRule="auto"/>
        <w:jc w:val="both"/>
        <w:rPr>
          <w:rFonts w:asciiTheme="majorBidi" w:hAnsiTheme="majorBidi" w:cstheme="majorBidi"/>
          <w:sz w:val="20"/>
          <w:szCs w:val="20"/>
        </w:rPr>
      </w:pPr>
    </w:p>
    <w:p w14:paraId="42D2C384" w14:textId="05166BBB"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Rather than relying on complex, data-intensive architectures, there is growing interest in simplified machine learning models that can operate with smaller datasets while still providing clinically meaningful predictions </w:t>
      </w:r>
      <w:r w:rsidR="004F2526" w:rsidRPr="001C6BC5">
        <w:rPr>
          <w:rFonts w:asciiTheme="majorBidi" w:hAnsiTheme="majorBidi" w:cstheme="majorBidi"/>
          <w:sz w:val="20"/>
          <w:szCs w:val="20"/>
        </w:rPr>
        <w:t>(Wiens et al. n.d.)</w:t>
      </w:r>
      <w:r w:rsidRPr="001C6BC5">
        <w:rPr>
          <w:rFonts w:asciiTheme="majorBidi" w:hAnsiTheme="majorBidi" w:cstheme="majorBidi"/>
          <w:sz w:val="20"/>
          <w:szCs w:val="20"/>
        </w:rPr>
        <w:t>.</w:t>
      </w:r>
    </w:p>
    <w:p w14:paraId="7DB0367C" w14:textId="77777777" w:rsidR="00B22CD6" w:rsidRPr="001C6BC5" w:rsidRDefault="00B22CD6" w:rsidP="00F219A5">
      <w:pPr>
        <w:spacing w:after="0" w:line="240" w:lineRule="auto"/>
        <w:jc w:val="both"/>
        <w:rPr>
          <w:rFonts w:asciiTheme="majorBidi" w:hAnsiTheme="majorBidi" w:cstheme="majorBidi"/>
          <w:sz w:val="20"/>
          <w:szCs w:val="20"/>
        </w:rPr>
      </w:pPr>
    </w:p>
    <w:p w14:paraId="5B556151" w14:textId="4BB52FE2"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b/>
          <w:bCs/>
          <w:sz w:val="20"/>
          <w:szCs w:val="20"/>
        </w:rPr>
        <w:t>Opportunities and Strategic Directions</w:t>
      </w:r>
      <w:r w:rsidR="00B22CD6" w:rsidRPr="001C6BC5">
        <w:rPr>
          <w:rFonts w:asciiTheme="majorBidi" w:hAnsiTheme="majorBidi" w:cstheme="majorBidi"/>
          <w:b/>
          <w:bCs/>
          <w:sz w:val="20"/>
          <w:szCs w:val="20"/>
        </w:rPr>
        <w:t xml:space="preserve">: </w:t>
      </w:r>
      <w:r w:rsidRPr="001C6BC5">
        <w:rPr>
          <w:rFonts w:asciiTheme="majorBidi" w:hAnsiTheme="majorBidi" w:cstheme="majorBidi"/>
          <w:sz w:val="20"/>
          <w:szCs w:val="20"/>
        </w:rPr>
        <w:t>Despite these challenges, low-resource settings also present unique opportunities for innovation. The high burden of infectious disease and antimicrobial resistance creates a strong case for the adaption of AI-driven tools that can enhance decision-making even in the absence of comprehensive laboratory support.</w:t>
      </w:r>
    </w:p>
    <w:p w14:paraId="3017736C" w14:textId="77777777" w:rsidR="00B22CD6" w:rsidRPr="001C6BC5" w:rsidRDefault="00B22CD6" w:rsidP="00F219A5">
      <w:pPr>
        <w:spacing w:after="0" w:line="240" w:lineRule="auto"/>
        <w:jc w:val="both"/>
        <w:rPr>
          <w:rFonts w:asciiTheme="majorBidi" w:hAnsiTheme="majorBidi" w:cstheme="majorBidi"/>
          <w:b/>
          <w:bCs/>
          <w:sz w:val="20"/>
          <w:szCs w:val="20"/>
        </w:rPr>
      </w:pPr>
    </w:p>
    <w:p w14:paraId="75833551"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Mobile-based platforms and cloud-integrated solutions offer promising avenues for deploying AI in decentralized healthcare settings. These approaches can able clinicians to active productive tools at the point of care without requiring extensive local infrastructure.</w:t>
      </w:r>
    </w:p>
    <w:p w14:paraId="24F51F1A" w14:textId="77777777" w:rsidR="00B22CD6" w:rsidRPr="001C6BC5" w:rsidRDefault="00B22CD6" w:rsidP="00F219A5">
      <w:pPr>
        <w:spacing w:after="0" w:line="240" w:lineRule="auto"/>
        <w:jc w:val="both"/>
        <w:rPr>
          <w:rFonts w:asciiTheme="majorBidi" w:hAnsiTheme="majorBidi" w:cstheme="majorBidi"/>
          <w:sz w:val="20"/>
          <w:szCs w:val="20"/>
        </w:rPr>
      </w:pPr>
    </w:p>
    <w:p w14:paraId="45A15CE9"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Additionally, the development of region-specific models trained on local data can improve relevance and accuracy. Collaborative data-sharing initiatives across institutions may help overcome limitations related to dataset size and diversity.</w:t>
      </w:r>
    </w:p>
    <w:p w14:paraId="05C36B87" w14:textId="77777777" w:rsidR="00B22CD6" w:rsidRPr="001C6BC5" w:rsidRDefault="00B22CD6" w:rsidP="00F219A5">
      <w:pPr>
        <w:spacing w:after="0" w:line="240" w:lineRule="auto"/>
        <w:jc w:val="both"/>
        <w:rPr>
          <w:rFonts w:asciiTheme="majorBidi" w:hAnsiTheme="majorBidi" w:cstheme="majorBidi"/>
          <w:sz w:val="20"/>
          <w:szCs w:val="20"/>
        </w:rPr>
      </w:pPr>
    </w:p>
    <w:p w14:paraId="03A1D18D" w14:textId="2D54A23F"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b/>
          <w:bCs/>
          <w:sz w:val="20"/>
          <w:szCs w:val="20"/>
        </w:rPr>
        <w:t>Global Relevance</w:t>
      </w:r>
      <w:r w:rsidR="00B22CD6" w:rsidRPr="001C6BC5">
        <w:rPr>
          <w:rFonts w:asciiTheme="majorBidi" w:hAnsiTheme="majorBidi" w:cstheme="majorBidi"/>
          <w:b/>
          <w:bCs/>
          <w:sz w:val="20"/>
          <w:szCs w:val="20"/>
        </w:rPr>
        <w:t xml:space="preserve">: </w:t>
      </w:r>
      <w:r w:rsidRPr="001C6BC5">
        <w:rPr>
          <w:rFonts w:asciiTheme="majorBidi" w:hAnsiTheme="majorBidi" w:cstheme="majorBidi"/>
          <w:sz w:val="20"/>
          <w:szCs w:val="20"/>
        </w:rPr>
        <w:t>This perspective extends beyond India to many LMICs facing similar constraints. Addressing these challenges is essential not only for local healthcare improvement but also for global AMR control, as resistant pathogens do not respect geographical boundaries.</w:t>
      </w:r>
    </w:p>
    <w:p w14:paraId="2DD2B8B7" w14:textId="77777777" w:rsidR="00B22CD6" w:rsidRPr="001C6BC5" w:rsidRDefault="00B22CD6" w:rsidP="00F219A5">
      <w:pPr>
        <w:spacing w:after="0" w:line="240" w:lineRule="auto"/>
        <w:jc w:val="both"/>
        <w:rPr>
          <w:rFonts w:asciiTheme="majorBidi" w:hAnsiTheme="majorBidi" w:cstheme="majorBidi"/>
          <w:sz w:val="20"/>
          <w:szCs w:val="20"/>
        </w:rPr>
      </w:pPr>
    </w:p>
    <w:p w14:paraId="71F0B5DB"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By prioritizing scalability, affordability, and adaptability, AI has the potential to bridge critical gaps in antimicrobial stewardship in resource-limited settings. However, success will depend on aligning technological innovation with the practical realities of healthcare delivery in these regions.</w:t>
      </w:r>
    </w:p>
    <w:p w14:paraId="45ED9288" w14:textId="77777777" w:rsidR="00B22CD6" w:rsidRPr="001C6BC5" w:rsidRDefault="00B22CD6" w:rsidP="00F219A5">
      <w:pPr>
        <w:spacing w:after="0" w:line="240" w:lineRule="auto"/>
        <w:jc w:val="both"/>
        <w:rPr>
          <w:rFonts w:asciiTheme="majorBidi" w:hAnsiTheme="majorBidi" w:cstheme="majorBidi"/>
          <w:sz w:val="20"/>
          <w:szCs w:val="20"/>
        </w:rPr>
      </w:pPr>
    </w:p>
    <w:p w14:paraId="3A7D9622" w14:textId="77777777"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8. Future Directions and Resew Research Roadmap</w:t>
      </w:r>
    </w:p>
    <w:p w14:paraId="20338870" w14:textId="77777777" w:rsidR="00B22CD6" w:rsidRPr="001C6BC5" w:rsidRDefault="00B22CD6" w:rsidP="00F219A5">
      <w:pPr>
        <w:spacing w:after="0" w:line="240" w:lineRule="auto"/>
        <w:jc w:val="both"/>
        <w:rPr>
          <w:rFonts w:asciiTheme="majorBidi" w:hAnsiTheme="majorBidi" w:cstheme="majorBidi"/>
          <w:sz w:val="20"/>
          <w:szCs w:val="20"/>
        </w:rPr>
      </w:pPr>
    </w:p>
    <w:p w14:paraId="7EF56EB0" w14:textId="461B4BB0"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The evolution of artificial intelligence in antimicrobial stewardship will depend not only on advances in algorithms but also on improvements in data infrastructure, clinical integration, and global collaboration. A phased roadmap helps clarify how current limitations can be addressed and how AI can transition from experimental use to routine clinical practice.</w:t>
      </w:r>
    </w:p>
    <w:p w14:paraId="255EBF45" w14:textId="77777777" w:rsidR="00B22CD6" w:rsidRPr="001C6BC5" w:rsidRDefault="00B22CD6" w:rsidP="00F219A5">
      <w:pPr>
        <w:spacing w:after="0" w:line="240" w:lineRule="auto"/>
        <w:jc w:val="both"/>
        <w:rPr>
          <w:rFonts w:asciiTheme="majorBidi" w:hAnsiTheme="majorBidi" w:cstheme="majorBidi"/>
          <w:sz w:val="20"/>
          <w:szCs w:val="20"/>
        </w:rPr>
      </w:pPr>
    </w:p>
    <w:p w14:paraId="28A45C10" w14:textId="78E8045D"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 xml:space="preserve">8.1 Short-Term </w:t>
      </w:r>
      <w:r w:rsidR="00B22CD6" w:rsidRPr="001C6BC5">
        <w:rPr>
          <w:rFonts w:asciiTheme="majorBidi" w:hAnsiTheme="majorBidi" w:cstheme="majorBidi"/>
          <w:b/>
          <w:bCs/>
        </w:rPr>
        <w:t>Priorities</w:t>
      </w:r>
    </w:p>
    <w:p w14:paraId="2DA78E07" w14:textId="77777777" w:rsidR="00B22CD6" w:rsidRPr="001C6BC5" w:rsidRDefault="00B22CD6" w:rsidP="00F219A5">
      <w:pPr>
        <w:spacing w:after="0" w:line="240" w:lineRule="auto"/>
        <w:jc w:val="both"/>
        <w:rPr>
          <w:rFonts w:asciiTheme="majorBidi" w:hAnsiTheme="majorBidi" w:cstheme="majorBidi"/>
          <w:sz w:val="20"/>
          <w:szCs w:val="20"/>
        </w:rPr>
      </w:pPr>
    </w:p>
    <w:p w14:paraId="446C8AAF" w14:textId="3EDC8A04"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In the immediate future, the focus must be on strengthening the foundational elements that underpin AI performance.</w:t>
      </w:r>
    </w:p>
    <w:p w14:paraId="2724C336" w14:textId="77777777" w:rsidR="00B22CD6" w:rsidRPr="001C6BC5" w:rsidRDefault="00B22CD6" w:rsidP="00F219A5">
      <w:pPr>
        <w:spacing w:after="0" w:line="240" w:lineRule="auto"/>
        <w:jc w:val="both"/>
        <w:rPr>
          <w:rFonts w:asciiTheme="majorBidi" w:hAnsiTheme="majorBidi" w:cstheme="majorBidi"/>
          <w:sz w:val="20"/>
          <w:szCs w:val="20"/>
        </w:rPr>
      </w:pPr>
    </w:p>
    <w:p w14:paraId="1311303F" w14:textId="0C7DA514"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b/>
          <w:bCs/>
          <w:sz w:val="20"/>
          <w:szCs w:val="20"/>
        </w:rPr>
        <w:t xml:space="preserve">Better datasets </w:t>
      </w:r>
      <w:r w:rsidRPr="001C6BC5">
        <w:rPr>
          <w:rFonts w:asciiTheme="majorBidi" w:hAnsiTheme="majorBidi" w:cstheme="majorBidi"/>
          <w:sz w:val="20"/>
          <w:szCs w:val="20"/>
        </w:rPr>
        <w:t xml:space="preserve">are essential. This includes improving data completeness, consistency, and representativeness across diverse patient populations. Efforts should prioritize multicenter data collection and the inclusion of varied geographic and clinical settings to enhance generalizability </w:t>
      </w:r>
      <w:r w:rsidR="004F2526" w:rsidRPr="001C6BC5">
        <w:rPr>
          <w:rFonts w:asciiTheme="majorBidi" w:hAnsiTheme="majorBidi" w:cstheme="majorBidi"/>
          <w:sz w:val="20"/>
          <w:szCs w:val="20"/>
        </w:rPr>
        <w:t>(Wiens et al. n.d.)</w:t>
      </w:r>
      <w:r w:rsidRPr="001C6BC5">
        <w:rPr>
          <w:rFonts w:asciiTheme="majorBidi" w:hAnsiTheme="majorBidi" w:cstheme="majorBidi"/>
          <w:sz w:val="20"/>
          <w:szCs w:val="20"/>
        </w:rPr>
        <w:t>.</w:t>
      </w:r>
    </w:p>
    <w:p w14:paraId="69E10759" w14:textId="77777777" w:rsidR="00B22CD6" w:rsidRPr="001C6BC5" w:rsidRDefault="00B22CD6" w:rsidP="00F219A5">
      <w:pPr>
        <w:spacing w:after="0" w:line="240" w:lineRule="auto"/>
        <w:jc w:val="both"/>
        <w:rPr>
          <w:rFonts w:asciiTheme="majorBidi" w:hAnsiTheme="majorBidi" w:cstheme="majorBidi"/>
          <w:sz w:val="20"/>
          <w:szCs w:val="20"/>
        </w:rPr>
      </w:pPr>
    </w:p>
    <w:p w14:paraId="15749E1B" w14:textId="6B1DB10A"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b/>
          <w:bCs/>
          <w:sz w:val="20"/>
          <w:szCs w:val="20"/>
        </w:rPr>
        <w:t xml:space="preserve">Standardized reporting </w:t>
      </w:r>
      <w:r w:rsidRPr="001C6BC5">
        <w:rPr>
          <w:rFonts w:asciiTheme="majorBidi" w:hAnsiTheme="majorBidi" w:cstheme="majorBidi"/>
          <w:sz w:val="20"/>
          <w:szCs w:val="20"/>
        </w:rPr>
        <w:t xml:space="preserve">is equally critical. Variability in how studies report model performance, datasets and validation method </w:t>
      </w:r>
      <w:proofErr w:type="gramStart"/>
      <w:r w:rsidRPr="001C6BC5">
        <w:rPr>
          <w:rFonts w:asciiTheme="majorBidi" w:hAnsiTheme="majorBidi" w:cstheme="majorBidi"/>
          <w:sz w:val="20"/>
          <w:szCs w:val="20"/>
        </w:rPr>
        <w:t>makes</w:t>
      </w:r>
      <w:proofErr w:type="gramEnd"/>
      <w:r w:rsidRPr="001C6BC5">
        <w:rPr>
          <w:rFonts w:asciiTheme="majorBidi" w:hAnsiTheme="majorBidi" w:cstheme="majorBidi"/>
          <w:sz w:val="20"/>
          <w:szCs w:val="20"/>
        </w:rPr>
        <w:t xml:space="preserve"> comparison difficult and slows progress. The adoption of standardized frameworks for reporting AI models in healthcare will improve transparency, reproducibility, and clinical trust </w:t>
      </w:r>
      <w:r w:rsidR="004F2526" w:rsidRPr="001C6BC5">
        <w:rPr>
          <w:rFonts w:asciiTheme="majorBidi" w:hAnsiTheme="majorBidi" w:cstheme="majorBidi"/>
          <w:sz w:val="20"/>
          <w:szCs w:val="20"/>
        </w:rPr>
        <w:t>(Collins et al., 2015)</w:t>
      </w:r>
      <w:r w:rsidRPr="001C6BC5">
        <w:rPr>
          <w:rFonts w:asciiTheme="majorBidi" w:hAnsiTheme="majorBidi" w:cstheme="majorBidi"/>
          <w:sz w:val="20"/>
          <w:szCs w:val="20"/>
        </w:rPr>
        <w:t>.</w:t>
      </w:r>
    </w:p>
    <w:p w14:paraId="17B18D93" w14:textId="77777777" w:rsidR="00B22CD6" w:rsidRPr="001C6BC5" w:rsidRDefault="00B22CD6" w:rsidP="00F219A5">
      <w:pPr>
        <w:spacing w:after="0" w:line="240" w:lineRule="auto"/>
        <w:jc w:val="both"/>
        <w:rPr>
          <w:rFonts w:asciiTheme="majorBidi" w:hAnsiTheme="majorBidi" w:cstheme="majorBidi"/>
          <w:sz w:val="20"/>
          <w:szCs w:val="20"/>
        </w:rPr>
      </w:pPr>
    </w:p>
    <w:p w14:paraId="6ED0D0F2" w14:textId="77777777" w:rsidR="00B22CD6" w:rsidRPr="001C6BC5" w:rsidRDefault="00B22CD6" w:rsidP="00F219A5">
      <w:pPr>
        <w:spacing w:after="0" w:line="240" w:lineRule="auto"/>
        <w:jc w:val="both"/>
        <w:rPr>
          <w:rFonts w:asciiTheme="majorBidi" w:hAnsiTheme="majorBidi" w:cstheme="majorBidi"/>
          <w:sz w:val="16"/>
          <w:szCs w:val="16"/>
        </w:rPr>
      </w:pPr>
    </w:p>
    <w:p w14:paraId="35E234A5" w14:textId="5BECD58A"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lastRenderedPageBreak/>
        <w:t>8.2</w:t>
      </w:r>
      <w:r w:rsidR="00B22CD6" w:rsidRPr="001C6BC5">
        <w:rPr>
          <w:rFonts w:asciiTheme="majorBidi" w:hAnsiTheme="majorBidi" w:cstheme="majorBidi"/>
          <w:b/>
          <w:bCs/>
        </w:rPr>
        <w:t xml:space="preserve"> </w:t>
      </w:r>
      <w:r w:rsidRPr="001C6BC5">
        <w:rPr>
          <w:rFonts w:asciiTheme="majorBidi" w:hAnsiTheme="majorBidi" w:cstheme="majorBidi"/>
          <w:b/>
          <w:bCs/>
        </w:rPr>
        <w:t>Mid-Term Developments</w:t>
      </w:r>
    </w:p>
    <w:p w14:paraId="6302DA17" w14:textId="77777777" w:rsidR="00B22CD6" w:rsidRPr="001C6BC5" w:rsidRDefault="00B22CD6" w:rsidP="00F219A5">
      <w:pPr>
        <w:spacing w:after="0" w:line="240" w:lineRule="auto"/>
        <w:jc w:val="both"/>
        <w:rPr>
          <w:rFonts w:asciiTheme="majorBidi" w:hAnsiTheme="majorBidi" w:cstheme="majorBidi"/>
          <w:sz w:val="20"/>
          <w:szCs w:val="20"/>
        </w:rPr>
      </w:pPr>
    </w:p>
    <w:p w14:paraId="420A78AE" w14:textId="27C8F244"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As foundational issues are addressed, the next phase involves translating AI models into real-world environments.</w:t>
      </w:r>
    </w:p>
    <w:p w14:paraId="5D4E299B" w14:textId="77777777" w:rsidR="00B22CD6" w:rsidRPr="001C6BC5" w:rsidRDefault="00B22CD6" w:rsidP="00F219A5">
      <w:pPr>
        <w:spacing w:after="0" w:line="240" w:lineRule="auto"/>
        <w:jc w:val="both"/>
        <w:rPr>
          <w:rFonts w:asciiTheme="majorBidi" w:hAnsiTheme="majorBidi" w:cstheme="majorBidi"/>
          <w:sz w:val="20"/>
          <w:szCs w:val="20"/>
        </w:rPr>
      </w:pPr>
    </w:p>
    <w:p w14:paraId="26C483C7" w14:textId="79E36585"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b/>
          <w:bCs/>
          <w:sz w:val="20"/>
          <w:szCs w:val="20"/>
        </w:rPr>
        <w:t xml:space="preserve">Integration with electronic health record (EHR) systems </w:t>
      </w:r>
      <w:r w:rsidRPr="001C6BC5">
        <w:rPr>
          <w:rFonts w:asciiTheme="majorBidi" w:hAnsiTheme="majorBidi" w:cstheme="majorBidi"/>
          <w:sz w:val="20"/>
          <w:szCs w:val="20"/>
        </w:rPr>
        <w:t xml:space="preserve">will be a key milestone. Embedding AI tools directly into clinical workflows allows seamless across to patient data and facilitates real-time decision support without disrupting routine practice </w:t>
      </w:r>
      <w:r w:rsidR="004F2526" w:rsidRPr="001C6BC5">
        <w:rPr>
          <w:rFonts w:asciiTheme="majorBidi" w:hAnsiTheme="majorBidi" w:cstheme="majorBidi"/>
          <w:sz w:val="20"/>
          <w:szCs w:val="20"/>
        </w:rPr>
        <w:t>(Sutton et al., 2020)</w:t>
      </w:r>
      <w:r w:rsidRPr="001C6BC5">
        <w:rPr>
          <w:rFonts w:asciiTheme="majorBidi" w:hAnsiTheme="majorBidi" w:cstheme="majorBidi"/>
          <w:sz w:val="20"/>
          <w:szCs w:val="20"/>
        </w:rPr>
        <w:t>.</w:t>
      </w:r>
    </w:p>
    <w:p w14:paraId="6138E7EC" w14:textId="77777777" w:rsidR="00B22CD6" w:rsidRPr="001C6BC5" w:rsidRDefault="00B22CD6" w:rsidP="00F219A5">
      <w:pPr>
        <w:spacing w:after="0" w:line="240" w:lineRule="auto"/>
        <w:jc w:val="both"/>
        <w:rPr>
          <w:rFonts w:asciiTheme="majorBidi" w:hAnsiTheme="majorBidi" w:cstheme="majorBidi"/>
          <w:sz w:val="20"/>
          <w:szCs w:val="20"/>
        </w:rPr>
      </w:pPr>
    </w:p>
    <w:p w14:paraId="5C003797"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b/>
          <w:bCs/>
          <w:sz w:val="20"/>
          <w:szCs w:val="20"/>
        </w:rPr>
        <w:t xml:space="preserve">Real-time hospital development </w:t>
      </w:r>
      <w:r w:rsidRPr="001C6BC5">
        <w:rPr>
          <w:rFonts w:asciiTheme="majorBidi" w:hAnsiTheme="majorBidi" w:cstheme="majorBidi"/>
          <w:sz w:val="20"/>
          <w:szCs w:val="20"/>
        </w:rPr>
        <w:t xml:space="preserve">will further enhance the utility of AI in microbial stewardship. Systems capable continuously </w:t>
      </w:r>
      <w:proofErr w:type="spellStart"/>
      <w:r w:rsidRPr="001C6BC5">
        <w:rPr>
          <w:rFonts w:asciiTheme="majorBidi" w:hAnsiTheme="majorBidi" w:cstheme="majorBidi"/>
          <w:sz w:val="20"/>
          <w:szCs w:val="20"/>
        </w:rPr>
        <w:t>analysing</w:t>
      </w:r>
      <w:proofErr w:type="spellEnd"/>
      <w:r w:rsidRPr="001C6BC5">
        <w:rPr>
          <w:rFonts w:asciiTheme="majorBidi" w:hAnsiTheme="majorBidi" w:cstheme="majorBidi"/>
          <w:sz w:val="20"/>
          <w:szCs w:val="20"/>
        </w:rPr>
        <w:t xml:space="preserve"> incoming data and updating predictions can support dynamic decision-making, particularly high-risk settings such as intensive care units and emergency departments.</w:t>
      </w:r>
    </w:p>
    <w:p w14:paraId="5667E34C" w14:textId="77777777" w:rsidR="00B22CD6" w:rsidRPr="001C6BC5" w:rsidRDefault="00B22CD6" w:rsidP="00F219A5">
      <w:pPr>
        <w:spacing w:after="0" w:line="240" w:lineRule="auto"/>
        <w:jc w:val="both"/>
        <w:rPr>
          <w:rFonts w:asciiTheme="majorBidi" w:hAnsiTheme="majorBidi" w:cstheme="majorBidi"/>
          <w:sz w:val="20"/>
          <w:szCs w:val="20"/>
        </w:rPr>
      </w:pPr>
    </w:p>
    <w:p w14:paraId="0F6194F1"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At this stage, emphasis should also be placed usability, clinician engagement, and minimizing alert fatigue to ensure sustained adoption.</w:t>
      </w:r>
    </w:p>
    <w:p w14:paraId="7275F935" w14:textId="77777777" w:rsidR="00B22CD6" w:rsidRPr="001C6BC5" w:rsidRDefault="00B22CD6" w:rsidP="00F219A5">
      <w:pPr>
        <w:spacing w:after="0" w:line="240" w:lineRule="auto"/>
        <w:jc w:val="both"/>
        <w:rPr>
          <w:rFonts w:asciiTheme="majorBidi" w:hAnsiTheme="majorBidi" w:cstheme="majorBidi"/>
          <w:sz w:val="20"/>
          <w:szCs w:val="20"/>
        </w:rPr>
      </w:pPr>
    </w:p>
    <w:p w14:paraId="2D9BA969" w14:textId="77777777"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8.3 Long-Term Vision</w:t>
      </w:r>
    </w:p>
    <w:p w14:paraId="48B3CDC1" w14:textId="77777777" w:rsidR="00B22CD6" w:rsidRPr="001C6BC5" w:rsidRDefault="00B22CD6" w:rsidP="00F219A5">
      <w:pPr>
        <w:spacing w:after="0" w:line="240" w:lineRule="auto"/>
        <w:jc w:val="both"/>
        <w:rPr>
          <w:rFonts w:asciiTheme="majorBidi" w:hAnsiTheme="majorBidi" w:cstheme="majorBidi"/>
          <w:sz w:val="20"/>
          <w:szCs w:val="20"/>
        </w:rPr>
      </w:pPr>
    </w:p>
    <w:p w14:paraId="47BEDC0A" w14:textId="32E650BA"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In the long term, AI has the potential to fundamentally reshape antimicrobial stewardship at both individual and global levels.</w:t>
      </w:r>
    </w:p>
    <w:p w14:paraId="74FB32F9" w14:textId="77777777" w:rsidR="00B22CD6" w:rsidRPr="001C6BC5" w:rsidRDefault="00B22CD6" w:rsidP="00F219A5">
      <w:pPr>
        <w:spacing w:after="0" w:line="240" w:lineRule="auto"/>
        <w:jc w:val="both"/>
        <w:rPr>
          <w:rFonts w:asciiTheme="majorBidi" w:hAnsiTheme="majorBidi" w:cstheme="majorBidi"/>
          <w:sz w:val="20"/>
          <w:szCs w:val="20"/>
        </w:rPr>
      </w:pPr>
    </w:p>
    <w:p w14:paraId="000C3CA2" w14:textId="4E02F3DE"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b/>
          <w:bCs/>
          <w:sz w:val="20"/>
          <w:szCs w:val="20"/>
        </w:rPr>
        <w:t xml:space="preserve">Personalized antimicrobial therapy </w:t>
      </w:r>
      <w:r w:rsidRPr="001C6BC5">
        <w:rPr>
          <w:rFonts w:asciiTheme="majorBidi" w:hAnsiTheme="majorBidi" w:cstheme="majorBidi"/>
          <w:sz w:val="20"/>
          <w:szCs w:val="20"/>
        </w:rPr>
        <w:t xml:space="preserve">represents a major goal. By integrating patient-specific data, pathogen characteristics, and local resistance trends, AI systems could recommend highly tailored treatment regimens, </w:t>
      </w:r>
      <w:proofErr w:type="gramStart"/>
      <w:r w:rsidRPr="001C6BC5">
        <w:rPr>
          <w:rFonts w:asciiTheme="majorBidi" w:hAnsiTheme="majorBidi" w:cstheme="majorBidi"/>
          <w:sz w:val="20"/>
          <w:szCs w:val="20"/>
        </w:rPr>
        <w:t>optimizing</w:t>
      </w:r>
      <w:proofErr w:type="gramEnd"/>
      <w:r w:rsidRPr="001C6BC5">
        <w:rPr>
          <w:rFonts w:asciiTheme="majorBidi" w:hAnsiTheme="majorBidi" w:cstheme="majorBidi"/>
          <w:sz w:val="20"/>
          <w:szCs w:val="20"/>
        </w:rPr>
        <w:t xml:space="preserve"> efficacy while minimizing resistance development</w:t>
      </w:r>
      <w:r w:rsidR="004F2526" w:rsidRPr="001C6BC5">
        <w:rPr>
          <w:rFonts w:asciiTheme="majorBidi" w:hAnsiTheme="majorBidi" w:cstheme="majorBidi"/>
          <w:sz w:val="20"/>
          <w:szCs w:val="20"/>
        </w:rPr>
        <w:t xml:space="preserve"> (Topol, 2019)</w:t>
      </w:r>
      <w:r w:rsidRPr="001C6BC5">
        <w:rPr>
          <w:rFonts w:asciiTheme="majorBidi" w:hAnsiTheme="majorBidi" w:cstheme="majorBidi"/>
          <w:sz w:val="20"/>
          <w:szCs w:val="20"/>
        </w:rPr>
        <w:t>.</w:t>
      </w:r>
    </w:p>
    <w:p w14:paraId="0B35C7FA" w14:textId="77777777" w:rsidR="00B22CD6" w:rsidRPr="001C6BC5" w:rsidRDefault="00B22CD6" w:rsidP="00F219A5">
      <w:pPr>
        <w:spacing w:after="0" w:line="240" w:lineRule="auto"/>
        <w:jc w:val="both"/>
        <w:rPr>
          <w:rFonts w:asciiTheme="majorBidi" w:hAnsiTheme="majorBidi" w:cstheme="majorBidi"/>
          <w:sz w:val="20"/>
          <w:szCs w:val="20"/>
        </w:rPr>
      </w:pPr>
    </w:p>
    <w:p w14:paraId="707ED3E3" w14:textId="597CE7F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b/>
          <w:bCs/>
          <w:sz w:val="20"/>
          <w:szCs w:val="20"/>
        </w:rPr>
        <w:t xml:space="preserve">Global resistance prediction networks </w:t>
      </w:r>
      <w:r w:rsidRPr="001C6BC5">
        <w:rPr>
          <w:rFonts w:asciiTheme="majorBidi" w:hAnsiTheme="majorBidi" w:cstheme="majorBidi"/>
          <w:sz w:val="20"/>
          <w:szCs w:val="20"/>
        </w:rPr>
        <w:t>may emerge through large-scale data sharing and collaboration across institutions and countries. Such system could provide real-</w:t>
      </w:r>
      <w:proofErr w:type="spellStart"/>
      <w:r w:rsidRPr="001C6BC5">
        <w:rPr>
          <w:rFonts w:asciiTheme="majorBidi" w:hAnsiTheme="majorBidi" w:cstheme="majorBidi"/>
          <w:sz w:val="20"/>
          <w:szCs w:val="20"/>
        </w:rPr>
        <w:t>tiem</w:t>
      </w:r>
      <w:proofErr w:type="spellEnd"/>
      <w:r w:rsidRPr="001C6BC5">
        <w:rPr>
          <w:rFonts w:asciiTheme="majorBidi" w:hAnsiTheme="majorBidi" w:cstheme="majorBidi"/>
          <w:sz w:val="20"/>
          <w:szCs w:val="20"/>
        </w:rPr>
        <w:t xml:space="preserve"> surveillance and forecasting of resistance patterns, enabling proactive public health interventions and coordinated global responses to AMR threats </w:t>
      </w:r>
      <w:r w:rsidR="004F2526" w:rsidRPr="001C6BC5">
        <w:rPr>
          <w:rFonts w:asciiTheme="majorBidi" w:hAnsiTheme="majorBidi" w:cstheme="majorBidi"/>
          <w:sz w:val="20"/>
          <w:szCs w:val="20"/>
        </w:rPr>
        <w:t>(Laxminarayan et al n.d.)</w:t>
      </w:r>
      <w:r w:rsidRPr="001C6BC5">
        <w:rPr>
          <w:rFonts w:asciiTheme="majorBidi" w:hAnsiTheme="majorBidi" w:cstheme="majorBidi"/>
          <w:sz w:val="20"/>
          <w:szCs w:val="20"/>
        </w:rPr>
        <w:t>.</w:t>
      </w:r>
    </w:p>
    <w:p w14:paraId="67D4603D" w14:textId="77777777" w:rsidR="00B22CD6" w:rsidRPr="001C6BC5" w:rsidRDefault="00B22CD6" w:rsidP="00F219A5">
      <w:pPr>
        <w:spacing w:after="0" w:line="240" w:lineRule="auto"/>
        <w:jc w:val="both"/>
        <w:rPr>
          <w:rFonts w:asciiTheme="majorBidi" w:hAnsiTheme="majorBidi" w:cstheme="majorBidi"/>
          <w:sz w:val="20"/>
          <w:szCs w:val="20"/>
        </w:rPr>
      </w:pPr>
    </w:p>
    <w:p w14:paraId="563F34BF" w14:textId="06FE7CC8"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b/>
          <w:bCs/>
          <w:sz w:val="20"/>
          <w:szCs w:val="20"/>
        </w:rPr>
        <w:t xml:space="preserve">Closing </w:t>
      </w:r>
      <w:r w:rsidR="00FF1B8C" w:rsidRPr="001C6BC5">
        <w:rPr>
          <w:rFonts w:asciiTheme="majorBidi" w:hAnsiTheme="majorBidi" w:cstheme="majorBidi"/>
          <w:b/>
          <w:bCs/>
          <w:sz w:val="20"/>
          <w:szCs w:val="20"/>
        </w:rPr>
        <w:t>Perspective:</w:t>
      </w:r>
      <w:r w:rsidRPr="001C6BC5">
        <w:rPr>
          <w:rFonts w:asciiTheme="majorBidi" w:hAnsiTheme="majorBidi" w:cstheme="majorBidi"/>
          <w:sz w:val="20"/>
          <w:szCs w:val="20"/>
        </w:rPr>
        <w:t xml:space="preserve"> Future stewardship will be algorithm-assisted, not purely clinician-driven. The most effective models will not replace clinical judgement but will augment it combining computational precision with human expertise to achieve safer, faster, and move targeted antimicrobial use.</w:t>
      </w:r>
    </w:p>
    <w:p w14:paraId="34C8C741" w14:textId="77777777" w:rsidR="00FF1B8C" w:rsidRPr="001C6BC5" w:rsidRDefault="00FF1B8C" w:rsidP="00F219A5">
      <w:pPr>
        <w:spacing w:after="0" w:line="240" w:lineRule="auto"/>
        <w:jc w:val="both"/>
        <w:rPr>
          <w:rFonts w:asciiTheme="majorBidi" w:hAnsiTheme="majorBidi" w:cstheme="majorBidi"/>
          <w:sz w:val="20"/>
          <w:szCs w:val="20"/>
        </w:rPr>
      </w:pPr>
    </w:p>
    <w:p w14:paraId="51D77846" w14:textId="77777777" w:rsidR="00A25153" w:rsidRPr="001C6BC5" w:rsidRDefault="00A25153" w:rsidP="00F219A5">
      <w:pPr>
        <w:spacing w:after="0" w:line="240" w:lineRule="auto"/>
        <w:jc w:val="both"/>
        <w:rPr>
          <w:rFonts w:asciiTheme="majorBidi" w:hAnsiTheme="majorBidi" w:cstheme="majorBidi"/>
          <w:b/>
          <w:bCs/>
        </w:rPr>
      </w:pPr>
      <w:r w:rsidRPr="001C6BC5">
        <w:rPr>
          <w:rFonts w:asciiTheme="majorBidi" w:hAnsiTheme="majorBidi" w:cstheme="majorBidi"/>
          <w:b/>
          <w:bCs/>
        </w:rPr>
        <w:t>9. Conclusion</w:t>
      </w:r>
    </w:p>
    <w:p w14:paraId="7733E391" w14:textId="77777777" w:rsidR="00FF1B8C" w:rsidRPr="001C6BC5" w:rsidRDefault="00FF1B8C" w:rsidP="00F219A5">
      <w:pPr>
        <w:spacing w:after="0" w:line="240" w:lineRule="auto"/>
        <w:jc w:val="both"/>
        <w:rPr>
          <w:rFonts w:asciiTheme="majorBidi" w:hAnsiTheme="majorBidi" w:cstheme="majorBidi"/>
          <w:sz w:val="20"/>
          <w:szCs w:val="20"/>
        </w:rPr>
      </w:pPr>
    </w:p>
    <w:p w14:paraId="522DFD0E" w14:textId="4E3C37C2"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Artificial intelligence holds a clear and transformative potential in antimicrobial stewardship, offering a shift from delayed, empirical decision-making to timely, data-driven precision across prediction, decision support, and workflow integration, AI demonstrates the ability to improve antibiotic selection, reduce unnecessary broad-spectrum use, and respond more effectively to evolving resistance patterns.  </w:t>
      </w:r>
    </w:p>
    <w:p w14:paraId="600A49F0" w14:textId="77777777" w:rsidR="00FF1B8C" w:rsidRPr="001C6BC5" w:rsidRDefault="00FF1B8C" w:rsidP="00F219A5">
      <w:pPr>
        <w:spacing w:after="0" w:line="240" w:lineRule="auto"/>
        <w:jc w:val="both"/>
        <w:rPr>
          <w:rFonts w:asciiTheme="majorBidi" w:hAnsiTheme="majorBidi" w:cstheme="majorBidi"/>
          <w:sz w:val="18"/>
          <w:szCs w:val="18"/>
        </w:rPr>
      </w:pPr>
    </w:p>
    <w:p w14:paraId="4951E3F1"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 xml:space="preserve">Yet the gap between potential and real-world impact remains significant. Current limitations in data quality, lack of external validation, fragmented healthcare infrastructure, and limited clinician trust continue to restrict widespread adoption. Many models perform well in control settings but struggle to translate into routine clinical practice, where variability, uncertainly, incomplete information </w:t>
      </w:r>
      <w:proofErr w:type="gramStart"/>
      <w:r w:rsidRPr="001C6BC5">
        <w:rPr>
          <w:rFonts w:asciiTheme="majorBidi" w:hAnsiTheme="majorBidi" w:cstheme="majorBidi"/>
          <w:sz w:val="20"/>
          <w:szCs w:val="20"/>
        </w:rPr>
        <w:t>are</w:t>
      </w:r>
      <w:proofErr w:type="gramEnd"/>
      <w:r w:rsidRPr="001C6BC5">
        <w:rPr>
          <w:rFonts w:asciiTheme="majorBidi" w:hAnsiTheme="majorBidi" w:cstheme="majorBidi"/>
          <w:sz w:val="20"/>
          <w:szCs w:val="20"/>
        </w:rPr>
        <w:t xml:space="preserve"> the norm.</w:t>
      </w:r>
    </w:p>
    <w:p w14:paraId="32FBAE61" w14:textId="77777777" w:rsidR="00FF1B8C" w:rsidRPr="001C6BC5" w:rsidRDefault="00FF1B8C" w:rsidP="00F219A5">
      <w:pPr>
        <w:spacing w:after="0" w:line="240" w:lineRule="auto"/>
        <w:jc w:val="both"/>
        <w:rPr>
          <w:rFonts w:asciiTheme="majorBidi" w:hAnsiTheme="majorBidi" w:cstheme="majorBidi"/>
          <w:sz w:val="18"/>
          <w:szCs w:val="18"/>
        </w:rPr>
      </w:pPr>
    </w:p>
    <w:p w14:paraId="65A276EE"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For AI to move beyond the promise, three pillars must be addressed: Validation, trust, and infrastructure. Models must be rigorously tested across diverse populations and settings. Clinicians must be able to understand and trust the recommendations provided. Healthcare systems must invest in digital infrastructure, standardized data systems, and workforce training to support seamless integration. At a policy level, coordinated efforts between regulatory bodies, healthcare institutions, and technology developers will be essential to ensure safe, scalable, and equitable adoption of AI in antimicrobial stewardship.</w:t>
      </w:r>
    </w:p>
    <w:p w14:paraId="2ADDE76F" w14:textId="77777777" w:rsidR="00FF1B8C" w:rsidRPr="001C6BC5" w:rsidRDefault="00FF1B8C" w:rsidP="00F219A5">
      <w:pPr>
        <w:spacing w:after="0" w:line="240" w:lineRule="auto"/>
        <w:jc w:val="both"/>
        <w:rPr>
          <w:rFonts w:asciiTheme="majorBidi" w:hAnsiTheme="majorBidi" w:cstheme="majorBidi"/>
          <w:sz w:val="18"/>
          <w:szCs w:val="18"/>
        </w:rPr>
      </w:pPr>
    </w:p>
    <w:p w14:paraId="24B97542"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If these challenges are met, AI has capacity to redefine antimicrobial stewardship at both individual and system-levels enabling faster, more precise, and more responsible use of antibiotics. The future of stewardship will not replace clinical judgement, but it will be shaped by intelligent systems that enhance it, making care not only more efficient, but fundamentally more informed.</w:t>
      </w:r>
    </w:p>
    <w:p w14:paraId="14A5C0F0" w14:textId="1FDBFBF5" w:rsidR="00A25153" w:rsidRPr="001C6BC5" w:rsidRDefault="00FF1B8C" w:rsidP="00F219A5">
      <w:pPr>
        <w:adjustRightInd w:val="0"/>
        <w:snapToGrid w:val="0"/>
        <w:spacing w:after="0" w:line="240" w:lineRule="auto"/>
        <w:jc w:val="both"/>
        <w:rPr>
          <w:rFonts w:asciiTheme="majorBidi" w:eastAsia="Times New Roman" w:hAnsiTheme="majorBidi" w:cstheme="majorBidi"/>
          <w:b/>
          <w:bCs/>
        </w:rPr>
      </w:pPr>
      <w:r w:rsidRPr="001C6BC5">
        <w:rPr>
          <w:rFonts w:asciiTheme="majorBidi" w:eastAsia="Times New Roman" w:hAnsiTheme="majorBidi" w:cstheme="majorBidi"/>
          <w:b/>
          <w:bCs/>
        </w:rPr>
        <w:lastRenderedPageBreak/>
        <w:t>Consent</w:t>
      </w:r>
    </w:p>
    <w:p w14:paraId="35E77CA6" w14:textId="77777777" w:rsidR="00A25153" w:rsidRPr="001C6BC5" w:rsidRDefault="00A25153" w:rsidP="00F219A5">
      <w:pPr>
        <w:spacing w:after="0" w:line="240" w:lineRule="auto"/>
        <w:jc w:val="both"/>
        <w:rPr>
          <w:rFonts w:asciiTheme="majorBidi" w:eastAsia="Times New Roman" w:hAnsiTheme="majorBidi" w:cstheme="majorBidi"/>
          <w:b/>
          <w:bCs/>
          <w:caps/>
          <w:sz w:val="20"/>
          <w:szCs w:val="20"/>
        </w:rPr>
      </w:pPr>
    </w:p>
    <w:p w14:paraId="0CA5AE65" w14:textId="77777777" w:rsidR="00A25153" w:rsidRPr="001C6BC5" w:rsidRDefault="00A25153" w:rsidP="00F219A5">
      <w:pPr>
        <w:spacing w:after="0" w:line="240" w:lineRule="auto"/>
        <w:jc w:val="both"/>
        <w:rPr>
          <w:rFonts w:asciiTheme="majorBidi" w:eastAsia="Times New Roman" w:hAnsiTheme="majorBidi" w:cstheme="majorBidi"/>
          <w:bCs/>
          <w:sz w:val="20"/>
          <w:szCs w:val="20"/>
        </w:rPr>
      </w:pPr>
      <w:r w:rsidRPr="001C6BC5">
        <w:rPr>
          <w:rFonts w:asciiTheme="majorBidi" w:eastAsia="Times New Roman" w:hAnsiTheme="majorBidi" w:cstheme="majorBidi"/>
          <w:bCs/>
          <w:sz w:val="20"/>
          <w:szCs w:val="20"/>
        </w:rPr>
        <w:t>It is not applicable.</w:t>
      </w:r>
    </w:p>
    <w:p w14:paraId="4B20141C" w14:textId="77777777" w:rsidR="00A25153" w:rsidRPr="001C6BC5" w:rsidRDefault="00A25153" w:rsidP="00F219A5">
      <w:pPr>
        <w:spacing w:after="0" w:line="240" w:lineRule="auto"/>
        <w:jc w:val="both"/>
        <w:rPr>
          <w:rFonts w:asciiTheme="majorBidi" w:eastAsia="Times New Roman" w:hAnsiTheme="majorBidi" w:cstheme="majorBidi"/>
          <w:bCs/>
          <w:sz w:val="20"/>
          <w:szCs w:val="20"/>
        </w:rPr>
      </w:pPr>
    </w:p>
    <w:p w14:paraId="28B05196" w14:textId="5541C13B" w:rsidR="00A25153" w:rsidRPr="001C6BC5" w:rsidRDefault="00FF1B8C" w:rsidP="00F219A5">
      <w:pPr>
        <w:adjustRightInd w:val="0"/>
        <w:snapToGrid w:val="0"/>
        <w:spacing w:after="0" w:line="240" w:lineRule="auto"/>
        <w:jc w:val="both"/>
        <w:rPr>
          <w:rFonts w:asciiTheme="majorBidi" w:eastAsia="Times New Roman" w:hAnsiTheme="majorBidi" w:cstheme="majorBidi"/>
          <w:b/>
          <w:bCs/>
        </w:rPr>
      </w:pPr>
      <w:r w:rsidRPr="001C6BC5">
        <w:rPr>
          <w:rFonts w:asciiTheme="majorBidi" w:eastAsia="Times New Roman" w:hAnsiTheme="majorBidi" w:cstheme="majorBidi"/>
          <w:b/>
          <w:bCs/>
        </w:rPr>
        <w:t>Ethical Approval</w:t>
      </w:r>
    </w:p>
    <w:p w14:paraId="0F36B20D" w14:textId="77777777" w:rsidR="00A25153" w:rsidRPr="001C6BC5" w:rsidRDefault="00A25153" w:rsidP="00F219A5">
      <w:pPr>
        <w:spacing w:after="0" w:line="240" w:lineRule="auto"/>
        <w:jc w:val="both"/>
        <w:rPr>
          <w:rFonts w:asciiTheme="majorBidi" w:eastAsia="Times New Roman" w:hAnsiTheme="majorBidi" w:cstheme="majorBidi"/>
          <w:bCs/>
          <w:caps/>
          <w:sz w:val="20"/>
          <w:szCs w:val="20"/>
        </w:rPr>
      </w:pPr>
    </w:p>
    <w:p w14:paraId="405945EF" w14:textId="77777777" w:rsidR="00A25153" w:rsidRPr="001C6BC5" w:rsidRDefault="00A25153" w:rsidP="00F219A5">
      <w:pPr>
        <w:spacing w:after="0" w:line="240" w:lineRule="auto"/>
        <w:jc w:val="both"/>
        <w:rPr>
          <w:rFonts w:asciiTheme="majorBidi" w:eastAsia="Times New Roman" w:hAnsiTheme="majorBidi" w:cstheme="majorBidi"/>
          <w:bCs/>
          <w:sz w:val="20"/>
          <w:szCs w:val="20"/>
        </w:rPr>
      </w:pPr>
      <w:r w:rsidRPr="001C6BC5">
        <w:rPr>
          <w:rFonts w:asciiTheme="majorBidi" w:eastAsia="Times New Roman" w:hAnsiTheme="majorBidi" w:cstheme="majorBidi"/>
          <w:bCs/>
          <w:sz w:val="20"/>
          <w:szCs w:val="20"/>
        </w:rPr>
        <w:t>It is not applicable.</w:t>
      </w:r>
    </w:p>
    <w:p w14:paraId="79D434EC" w14:textId="77777777" w:rsidR="00A25153" w:rsidRPr="001C6BC5" w:rsidRDefault="00A25153" w:rsidP="00F219A5">
      <w:pPr>
        <w:spacing w:after="0" w:line="240" w:lineRule="auto"/>
        <w:jc w:val="both"/>
        <w:rPr>
          <w:rFonts w:asciiTheme="majorBidi" w:hAnsiTheme="majorBidi" w:cstheme="majorBidi"/>
          <w:sz w:val="20"/>
          <w:szCs w:val="20"/>
        </w:rPr>
      </w:pPr>
    </w:p>
    <w:p w14:paraId="4083A4AF" w14:textId="77777777" w:rsidR="00A25153" w:rsidRPr="001C6BC5" w:rsidRDefault="00A25153" w:rsidP="00F219A5">
      <w:pPr>
        <w:spacing w:after="0" w:line="240" w:lineRule="auto"/>
        <w:jc w:val="both"/>
        <w:rPr>
          <w:rFonts w:asciiTheme="majorBidi" w:eastAsia="Calibri" w:hAnsiTheme="majorBidi" w:cstheme="majorBidi"/>
          <w:b/>
          <w:bCs/>
          <w:kern w:val="2"/>
        </w:rPr>
      </w:pPr>
      <w:r w:rsidRPr="001C6BC5">
        <w:rPr>
          <w:rFonts w:asciiTheme="majorBidi" w:eastAsia="Calibri" w:hAnsiTheme="majorBidi" w:cstheme="majorBidi"/>
          <w:b/>
          <w:bCs/>
          <w:kern w:val="2"/>
        </w:rPr>
        <w:t>Disclaimer (Artificial Intelligence)</w:t>
      </w:r>
    </w:p>
    <w:p w14:paraId="1551AF82" w14:textId="77777777" w:rsidR="00A25153" w:rsidRPr="001C6BC5" w:rsidRDefault="00A25153" w:rsidP="00F219A5">
      <w:pPr>
        <w:spacing w:after="0" w:line="240" w:lineRule="auto"/>
        <w:jc w:val="both"/>
        <w:rPr>
          <w:rFonts w:asciiTheme="majorBidi" w:eastAsia="Calibri" w:hAnsiTheme="majorBidi" w:cstheme="majorBidi"/>
          <w:b/>
          <w:bCs/>
          <w:kern w:val="2"/>
          <w:sz w:val="20"/>
          <w:szCs w:val="20"/>
        </w:rPr>
      </w:pPr>
    </w:p>
    <w:p w14:paraId="79C6D136" w14:textId="77777777" w:rsidR="00A25153" w:rsidRPr="001C6BC5" w:rsidRDefault="00A25153" w:rsidP="00F219A5">
      <w:pPr>
        <w:spacing w:after="0" w:line="240" w:lineRule="auto"/>
        <w:jc w:val="both"/>
        <w:rPr>
          <w:rFonts w:asciiTheme="majorBidi" w:eastAsia="Calibri" w:hAnsiTheme="majorBidi" w:cstheme="majorBidi"/>
          <w:kern w:val="2"/>
          <w:sz w:val="20"/>
          <w:szCs w:val="20"/>
        </w:rPr>
      </w:pPr>
      <w:r w:rsidRPr="001C6BC5">
        <w:rPr>
          <w:rFonts w:asciiTheme="majorBidi" w:eastAsia="Calibri" w:hAnsiTheme="majorBidi" w:cstheme="majorBidi"/>
          <w:kern w:val="2"/>
          <w:sz w:val="20"/>
          <w:szCs w:val="20"/>
        </w:rPr>
        <w:t xml:space="preserve">Author(s) hereby </w:t>
      </w:r>
      <w:proofErr w:type="gramStart"/>
      <w:r w:rsidRPr="001C6BC5">
        <w:rPr>
          <w:rFonts w:asciiTheme="majorBidi" w:eastAsia="Calibri" w:hAnsiTheme="majorBidi" w:cstheme="majorBidi"/>
          <w:kern w:val="2"/>
          <w:sz w:val="20"/>
          <w:szCs w:val="20"/>
        </w:rPr>
        <w:t>declare</w:t>
      </w:r>
      <w:proofErr w:type="gramEnd"/>
      <w:r w:rsidRPr="001C6BC5">
        <w:rPr>
          <w:rFonts w:asciiTheme="majorBidi" w:eastAsia="Calibri" w:hAnsiTheme="majorBidi" w:cstheme="majorBidi"/>
          <w:kern w:val="2"/>
          <w:sz w:val="20"/>
          <w:szCs w:val="20"/>
        </w:rPr>
        <w:t xml:space="preserve"> that NO generative AI technologies such as Large Language Models (ChatGPT, COPILOT, </w:t>
      </w:r>
      <w:proofErr w:type="spellStart"/>
      <w:r w:rsidRPr="001C6BC5">
        <w:rPr>
          <w:rFonts w:asciiTheme="majorBidi" w:eastAsia="Calibri" w:hAnsiTheme="majorBidi" w:cstheme="majorBidi"/>
          <w:kern w:val="2"/>
          <w:sz w:val="20"/>
          <w:szCs w:val="20"/>
        </w:rPr>
        <w:t>etc</w:t>
      </w:r>
      <w:proofErr w:type="spellEnd"/>
      <w:r w:rsidRPr="001C6BC5">
        <w:rPr>
          <w:rFonts w:asciiTheme="majorBidi" w:eastAsia="Calibri" w:hAnsiTheme="majorBidi" w:cstheme="majorBidi"/>
          <w:kern w:val="2"/>
          <w:sz w:val="20"/>
          <w:szCs w:val="20"/>
        </w:rPr>
        <w:t xml:space="preserve">) and text-to-image generators have been used during writing or editing of this manuscript. </w:t>
      </w:r>
    </w:p>
    <w:p w14:paraId="642026A4" w14:textId="77777777" w:rsidR="00A25153" w:rsidRPr="001C6BC5" w:rsidRDefault="00A25153" w:rsidP="00F219A5">
      <w:pPr>
        <w:pStyle w:val="ReferHead"/>
        <w:keepNext w:val="0"/>
        <w:spacing w:after="0"/>
        <w:jc w:val="both"/>
        <w:rPr>
          <w:rFonts w:asciiTheme="majorBidi" w:hAnsiTheme="majorBidi" w:cstheme="majorBidi"/>
          <w:bCs/>
          <w:sz w:val="20"/>
        </w:rPr>
      </w:pPr>
    </w:p>
    <w:p w14:paraId="40775DF6" w14:textId="77777777" w:rsidR="00A25153" w:rsidRPr="001C6BC5" w:rsidRDefault="00A25153" w:rsidP="00F219A5">
      <w:pPr>
        <w:pStyle w:val="ReferHead"/>
        <w:keepNext w:val="0"/>
        <w:spacing w:after="0"/>
        <w:jc w:val="both"/>
        <w:rPr>
          <w:rFonts w:asciiTheme="majorBidi" w:hAnsiTheme="majorBidi" w:cstheme="majorBidi"/>
          <w:bCs/>
          <w:szCs w:val="22"/>
        </w:rPr>
      </w:pPr>
      <w:r w:rsidRPr="001C6BC5">
        <w:rPr>
          <w:rFonts w:asciiTheme="majorBidi" w:hAnsiTheme="majorBidi" w:cstheme="majorBidi"/>
          <w:bCs/>
          <w:caps w:val="0"/>
          <w:szCs w:val="22"/>
        </w:rPr>
        <w:t>Competing Interests</w:t>
      </w:r>
    </w:p>
    <w:p w14:paraId="3E5C6DED" w14:textId="77777777" w:rsidR="00A25153" w:rsidRPr="001C6BC5" w:rsidRDefault="00A25153" w:rsidP="00F219A5">
      <w:pPr>
        <w:pStyle w:val="ReferHead"/>
        <w:keepNext w:val="0"/>
        <w:spacing w:after="0"/>
        <w:jc w:val="both"/>
        <w:rPr>
          <w:rFonts w:asciiTheme="majorBidi" w:hAnsiTheme="majorBidi" w:cstheme="majorBidi"/>
          <w:sz w:val="20"/>
        </w:rPr>
      </w:pPr>
    </w:p>
    <w:p w14:paraId="467A928E" w14:textId="77777777" w:rsidR="00A25153" w:rsidRPr="001C6BC5" w:rsidRDefault="00A25153" w:rsidP="00F219A5">
      <w:pPr>
        <w:spacing w:after="0" w:line="240" w:lineRule="auto"/>
        <w:jc w:val="both"/>
        <w:rPr>
          <w:rFonts w:asciiTheme="majorBidi" w:hAnsiTheme="majorBidi" w:cstheme="majorBidi"/>
          <w:sz w:val="20"/>
          <w:szCs w:val="20"/>
        </w:rPr>
      </w:pPr>
      <w:r w:rsidRPr="001C6BC5">
        <w:rPr>
          <w:rFonts w:asciiTheme="majorBidi" w:hAnsiTheme="majorBidi" w:cstheme="majorBidi"/>
          <w:sz w:val="20"/>
          <w:szCs w:val="20"/>
        </w:rPr>
        <w:t>Authors have declared that they have no known competing financial interests OR non-financial interests OR personal relationships that could have appeared to influence the work reported in this paper.</w:t>
      </w:r>
    </w:p>
    <w:p w14:paraId="2D7580BC" w14:textId="77777777" w:rsidR="00A25153" w:rsidRPr="001C6BC5" w:rsidRDefault="00A25153" w:rsidP="00F219A5">
      <w:pPr>
        <w:spacing w:after="0" w:line="240" w:lineRule="auto"/>
        <w:jc w:val="both"/>
        <w:rPr>
          <w:rFonts w:asciiTheme="majorBidi" w:hAnsiTheme="majorBidi" w:cstheme="majorBidi"/>
          <w:b/>
          <w:bCs/>
          <w:sz w:val="20"/>
          <w:szCs w:val="20"/>
        </w:rPr>
      </w:pPr>
    </w:p>
    <w:p w14:paraId="0FD86DB6" w14:textId="773E6A20" w:rsidR="00A25153" w:rsidRPr="001C6BC5" w:rsidRDefault="00FF1B8C" w:rsidP="00F219A5">
      <w:pPr>
        <w:spacing w:after="0" w:line="240" w:lineRule="auto"/>
        <w:jc w:val="both"/>
        <w:rPr>
          <w:rFonts w:asciiTheme="majorBidi" w:hAnsiTheme="majorBidi" w:cstheme="majorBidi"/>
          <w:b/>
          <w:bCs/>
        </w:rPr>
      </w:pPr>
      <w:r w:rsidRPr="001C6BC5">
        <w:rPr>
          <w:rFonts w:asciiTheme="majorBidi" w:hAnsiTheme="majorBidi" w:cstheme="majorBidi"/>
          <w:b/>
          <w:bCs/>
        </w:rPr>
        <w:t>References</w:t>
      </w:r>
    </w:p>
    <w:p w14:paraId="2966F68C" w14:textId="77777777" w:rsidR="00FF1B8C" w:rsidRPr="001C6BC5" w:rsidRDefault="00FF1B8C" w:rsidP="00F219A5">
      <w:pPr>
        <w:spacing w:after="0" w:line="240" w:lineRule="auto"/>
        <w:jc w:val="both"/>
        <w:rPr>
          <w:rFonts w:asciiTheme="majorBidi" w:hAnsiTheme="majorBidi" w:cstheme="majorBidi"/>
          <w:sz w:val="20"/>
          <w:szCs w:val="20"/>
        </w:rPr>
      </w:pPr>
    </w:p>
    <w:p w14:paraId="1478E383"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1C6BC5">
        <w:rPr>
          <w:rFonts w:asciiTheme="majorBidi" w:hAnsiTheme="majorBidi" w:cstheme="majorBidi"/>
          <w:sz w:val="20"/>
          <w:szCs w:val="20"/>
          <w:lang w:val="en-IN"/>
        </w:rPr>
        <w:t xml:space="preserve">Antimicrobial Resistance Collaborators. (2022). Global burden of bacterial antimicrobial resistance in 2019: A systematic analysis. </w:t>
      </w:r>
      <w:r w:rsidRPr="001C6BC5">
        <w:rPr>
          <w:rFonts w:asciiTheme="majorBidi" w:hAnsiTheme="majorBidi" w:cstheme="majorBidi"/>
          <w:i/>
          <w:iCs/>
          <w:sz w:val="20"/>
          <w:szCs w:val="20"/>
          <w:lang w:val="en-IN"/>
        </w:rPr>
        <w:t>The Lancet, 399</w:t>
      </w:r>
      <w:r w:rsidRPr="001C6BC5">
        <w:rPr>
          <w:rFonts w:asciiTheme="majorBidi" w:hAnsiTheme="majorBidi" w:cstheme="majorBidi"/>
          <w:sz w:val="20"/>
          <w:szCs w:val="20"/>
          <w:lang w:val="en-IN"/>
        </w:rPr>
        <w:t xml:space="preserve">(10325), 629–655. </w:t>
      </w:r>
      <w:hyperlink r:id="rId11" w:tgtFrame="_new" w:history="1">
        <w:r w:rsidRPr="001C6BC5">
          <w:rPr>
            <w:rStyle w:val="Hyperlink"/>
            <w:rFonts w:asciiTheme="majorBidi" w:hAnsiTheme="majorBidi" w:cstheme="majorBidi"/>
            <w:color w:val="auto"/>
            <w:sz w:val="20"/>
            <w:szCs w:val="20"/>
            <w:u w:val="none"/>
            <w:lang w:val="en-IN"/>
          </w:rPr>
          <w:t>https://doi.org/10.1016/S0140-6736(21)02724-0</w:t>
        </w:r>
      </w:hyperlink>
    </w:p>
    <w:p w14:paraId="7CBCCE89" w14:textId="77777777" w:rsidR="001C6BC5" w:rsidRPr="008F6CDA" w:rsidRDefault="001C6BC5" w:rsidP="00F219A5">
      <w:pPr>
        <w:spacing w:before="40" w:after="0" w:line="240" w:lineRule="auto"/>
        <w:ind w:left="540" w:hanging="540"/>
        <w:jc w:val="both"/>
        <w:rPr>
          <w:rFonts w:asciiTheme="majorBidi" w:hAnsiTheme="majorBidi" w:cstheme="majorBidi"/>
          <w:sz w:val="20"/>
          <w:szCs w:val="20"/>
          <w:lang w:val="pt-PT"/>
        </w:rPr>
      </w:pPr>
      <w:r w:rsidRPr="001C6BC5">
        <w:rPr>
          <w:rFonts w:asciiTheme="majorBidi" w:hAnsiTheme="majorBidi" w:cstheme="majorBidi"/>
          <w:sz w:val="20"/>
          <w:szCs w:val="20"/>
          <w:lang w:val="en-IN"/>
        </w:rPr>
        <w:t>Arango-</w:t>
      </w:r>
      <w:proofErr w:type="spellStart"/>
      <w:r w:rsidRPr="001C6BC5">
        <w:rPr>
          <w:rFonts w:asciiTheme="majorBidi" w:hAnsiTheme="majorBidi" w:cstheme="majorBidi"/>
          <w:sz w:val="20"/>
          <w:szCs w:val="20"/>
          <w:lang w:val="en-IN"/>
        </w:rPr>
        <w:t>Argoty</w:t>
      </w:r>
      <w:proofErr w:type="spellEnd"/>
      <w:r w:rsidRPr="001C6BC5">
        <w:rPr>
          <w:rFonts w:asciiTheme="majorBidi" w:hAnsiTheme="majorBidi" w:cstheme="majorBidi"/>
          <w:sz w:val="20"/>
          <w:szCs w:val="20"/>
          <w:lang w:val="en-IN"/>
        </w:rPr>
        <w:t xml:space="preserve">, G., Garner, E., Pruden, A., Heath, L. S., </w:t>
      </w:r>
      <w:proofErr w:type="spellStart"/>
      <w:r w:rsidRPr="001C6BC5">
        <w:rPr>
          <w:rFonts w:asciiTheme="majorBidi" w:hAnsiTheme="majorBidi" w:cstheme="majorBidi"/>
          <w:sz w:val="20"/>
          <w:szCs w:val="20"/>
          <w:lang w:val="en-IN"/>
        </w:rPr>
        <w:t>Vikesland</w:t>
      </w:r>
      <w:proofErr w:type="spellEnd"/>
      <w:r w:rsidRPr="001C6BC5">
        <w:rPr>
          <w:rFonts w:asciiTheme="majorBidi" w:hAnsiTheme="majorBidi" w:cstheme="majorBidi"/>
          <w:sz w:val="20"/>
          <w:szCs w:val="20"/>
          <w:lang w:val="en-IN"/>
        </w:rPr>
        <w:t xml:space="preserve">, P., &amp; Zhang, L. (2018). </w:t>
      </w:r>
      <w:proofErr w:type="spellStart"/>
      <w:r w:rsidRPr="001C6BC5">
        <w:rPr>
          <w:rFonts w:asciiTheme="majorBidi" w:hAnsiTheme="majorBidi" w:cstheme="majorBidi"/>
          <w:sz w:val="20"/>
          <w:szCs w:val="20"/>
          <w:lang w:val="en-IN"/>
        </w:rPr>
        <w:t>DeepARG</w:t>
      </w:r>
      <w:proofErr w:type="spellEnd"/>
      <w:r w:rsidRPr="001C6BC5">
        <w:rPr>
          <w:rFonts w:asciiTheme="majorBidi" w:hAnsiTheme="majorBidi" w:cstheme="majorBidi"/>
          <w:sz w:val="20"/>
          <w:szCs w:val="20"/>
          <w:lang w:val="en-IN"/>
        </w:rPr>
        <w:t xml:space="preserve">: A deep learning approach for predicting antibiotic resistance genes from metagenomic data. </w:t>
      </w:r>
      <w:r w:rsidRPr="008F6CDA">
        <w:rPr>
          <w:rFonts w:asciiTheme="majorBidi" w:hAnsiTheme="majorBidi" w:cstheme="majorBidi"/>
          <w:i/>
          <w:iCs/>
          <w:sz w:val="20"/>
          <w:szCs w:val="20"/>
          <w:lang w:val="pt-PT"/>
        </w:rPr>
        <w:t>Microbiome, 6</w:t>
      </w:r>
      <w:r w:rsidRPr="008F6CDA">
        <w:rPr>
          <w:rFonts w:asciiTheme="majorBidi" w:hAnsiTheme="majorBidi" w:cstheme="majorBidi"/>
          <w:sz w:val="20"/>
          <w:szCs w:val="20"/>
          <w:lang w:val="pt-PT"/>
        </w:rPr>
        <w:t xml:space="preserve">(1), 23. </w:t>
      </w:r>
      <w:hyperlink r:id="rId12" w:tgtFrame="_new" w:history="1">
        <w:r w:rsidRPr="008F6CDA">
          <w:rPr>
            <w:rStyle w:val="Hyperlink"/>
            <w:rFonts w:asciiTheme="majorBidi" w:hAnsiTheme="majorBidi" w:cstheme="majorBidi"/>
            <w:color w:val="auto"/>
            <w:sz w:val="20"/>
            <w:szCs w:val="20"/>
            <w:u w:val="none"/>
            <w:lang w:val="pt-PT"/>
          </w:rPr>
          <w:t>https://doi.org/10.1186/s40168-018-0401-z</w:t>
        </w:r>
      </w:hyperlink>
    </w:p>
    <w:p w14:paraId="724C5594"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8F6CDA">
        <w:rPr>
          <w:rFonts w:asciiTheme="majorBidi" w:hAnsiTheme="majorBidi" w:cstheme="majorBidi"/>
          <w:sz w:val="20"/>
          <w:szCs w:val="20"/>
          <w:lang w:val="pt-PT"/>
        </w:rPr>
        <w:t xml:space="preserve">Bates, D. W., et al. (2014). </w:t>
      </w:r>
      <w:r w:rsidRPr="001C6BC5">
        <w:rPr>
          <w:rFonts w:asciiTheme="majorBidi" w:hAnsiTheme="majorBidi" w:cstheme="majorBidi"/>
          <w:sz w:val="20"/>
          <w:szCs w:val="20"/>
          <w:lang w:val="en-IN"/>
        </w:rPr>
        <w:t xml:space="preserve">Ten commandments for effective clinical decision support. </w:t>
      </w:r>
      <w:r w:rsidRPr="001C6BC5">
        <w:rPr>
          <w:rFonts w:asciiTheme="majorBidi" w:hAnsiTheme="majorBidi" w:cstheme="majorBidi"/>
          <w:i/>
          <w:iCs/>
          <w:sz w:val="20"/>
          <w:szCs w:val="20"/>
          <w:lang w:val="en-IN"/>
        </w:rPr>
        <w:t>Journal of the American Medical Informatics Association</w:t>
      </w:r>
      <w:r w:rsidRPr="001C6BC5">
        <w:rPr>
          <w:rFonts w:asciiTheme="majorBidi" w:hAnsiTheme="majorBidi" w:cstheme="majorBidi"/>
          <w:sz w:val="20"/>
          <w:szCs w:val="20"/>
          <w:lang w:val="en-IN"/>
        </w:rPr>
        <w:t xml:space="preserve">. </w:t>
      </w:r>
      <w:hyperlink r:id="rId13" w:tgtFrame="_new" w:history="1">
        <w:r w:rsidRPr="001C6BC5">
          <w:rPr>
            <w:rStyle w:val="Hyperlink"/>
            <w:rFonts w:asciiTheme="majorBidi" w:hAnsiTheme="majorBidi" w:cstheme="majorBidi"/>
            <w:color w:val="auto"/>
            <w:sz w:val="20"/>
            <w:szCs w:val="20"/>
            <w:u w:val="none"/>
            <w:lang w:val="en-IN"/>
          </w:rPr>
          <w:t>https://doi.org/10.1136/amiajnl-2014-002659</w:t>
        </w:r>
      </w:hyperlink>
    </w:p>
    <w:p w14:paraId="757BF9AF"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1C6BC5">
        <w:rPr>
          <w:rFonts w:asciiTheme="majorBidi" w:hAnsiTheme="majorBidi" w:cstheme="majorBidi"/>
          <w:sz w:val="20"/>
          <w:szCs w:val="20"/>
          <w:lang w:val="en-IN"/>
        </w:rPr>
        <w:t xml:space="preserve">Baur, D., Gladstone, B. P., Burkert, F., Carrara, E., Krag, A., Hartmann, M., et al. (2017). Effect of antibiotic stewardship on the incidence of infection and colonisation with antibiotic-resistant bacteria. </w:t>
      </w:r>
      <w:r w:rsidRPr="001C6BC5">
        <w:rPr>
          <w:rFonts w:asciiTheme="majorBidi" w:hAnsiTheme="majorBidi" w:cstheme="majorBidi"/>
          <w:i/>
          <w:iCs/>
          <w:sz w:val="20"/>
          <w:szCs w:val="20"/>
          <w:lang w:val="en-IN"/>
        </w:rPr>
        <w:t>The Lancet Infectious Diseases, 17</w:t>
      </w:r>
      <w:r w:rsidRPr="001C6BC5">
        <w:rPr>
          <w:rFonts w:asciiTheme="majorBidi" w:hAnsiTheme="majorBidi" w:cstheme="majorBidi"/>
          <w:sz w:val="20"/>
          <w:szCs w:val="20"/>
          <w:lang w:val="en-IN"/>
        </w:rPr>
        <w:t xml:space="preserve">(9), 990–1001. </w:t>
      </w:r>
      <w:hyperlink r:id="rId14" w:tgtFrame="_new" w:history="1">
        <w:r w:rsidRPr="001C6BC5">
          <w:rPr>
            <w:rStyle w:val="Hyperlink"/>
            <w:rFonts w:asciiTheme="majorBidi" w:hAnsiTheme="majorBidi" w:cstheme="majorBidi"/>
            <w:color w:val="auto"/>
            <w:sz w:val="20"/>
            <w:szCs w:val="20"/>
            <w:u w:val="none"/>
            <w:lang w:val="en-IN"/>
          </w:rPr>
          <w:t>https://doi.org/10.1016/S1473-3099(17)30325-0</w:t>
        </w:r>
      </w:hyperlink>
    </w:p>
    <w:p w14:paraId="3026B692"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1C6BC5">
        <w:rPr>
          <w:rFonts w:asciiTheme="majorBidi" w:hAnsiTheme="majorBidi" w:cstheme="majorBidi"/>
          <w:sz w:val="20"/>
          <w:szCs w:val="20"/>
          <w:lang w:val="en-IN"/>
        </w:rPr>
        <w:t xml:space="preserve">Beam, A. L., &amp; </w:t>
      </w:r>
      <w:proofErr w:type="spellStart"/>
      <w:r w:rsidRPr="001C6BC5">
        <w:rPr>
          <w:rFonts w:asciiTheme="majorBidi" w:hAnsiTheme="majorBidi" w:cstheme="majorBidi"/>
          <w:sz w:val="20"/>
          <w:szCs w:val="20"/>
          <w:lang w:val="en-IN"/>
        </w:rPr>
        <w:t>Kohane</w:t>
      </w:r>
      <w:proofErr w:type="spellEnd"/>
      <w:r w:rsidRPr="001C6BC5">
        <w:rPr>
          <w:rFonts w:asciiTheme="majorBidi" w:hAnsiTheme="majorBidi" w:cstheme="majorBidi"/>
          <w:sz w:val="20"/>
          <w:szCs w:val="20"/>
          <w:lang w:val="en-IN"/>
        </w:rPr>
        <w:t xml:space="preserve">, I. S. (2018). Big data and machine learning in health care. </w:t>
      </w:r>
      <w:r w:rsidRPr="001C6BC5">
        <w:rPr>
          <w:rFonts w:asciiTheme="majorBidi" w:hAnsiTheme="majorBidi" w:cstheme="majorBidi"/>
          <w:i/>
          <w:iCs/>
          <w:sz w:val="20"/>
          <w:szCs w:val="20"/>
          <w:lang w:val="en-IN"/>
        </w:rPr>
        <w:t>JAMA</w:t>
      </w:r>
      <w:r w:rsidRPr="001C6BC5">
        <w:rPr>
          <w:rFonts w:asciiTheme="majorBidi" w:hAnsiTheme="majorBidi" w:cstheme="majorBidi"/>
          <w:sz w:val="20"/>
          <w:szCs w:val="20"/>
          <w:lang w:val="en-IN"/>
        </w:rPr>
        <w:t xml:space="preserve">. </w:t>
      </w:r>
      <w:hyperlink r:id="rId15" w:tgtFrame="_new" w:history="1">
        <w:r w:rsidRPr="001C6BC5">
          <w:rPr>
            <w:rStyle w:val="Hyperlink"/>
            <w:rFonts w:asciiTheme="majorBidi" w:hAnsiTheme="majorBidi" w:cstheme="majorBidi"/>
            <w:color w:val="auto"/>
            <w:sz w:val="20"/>
            <w:szCs w:val="20"/>
            <w:u w:val="none"/>
            <w:lang w:val="en-IN"/>
          </w:rPr>
          <w:t>https://doi.org/10.1001/jama.2017.18391</w:t>
        </w:r>
      </w:hyperlink>
    </w:p>
    <w:p w14:paraId="5836CC97"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1C6BC5">
        <w:rPr>
          <w:rFonts w:asciiTheme="majorBidi" w:hAnsiTheme="majorBidi" w:cstheme="majorBidi"/>
          <w:sz w:val="20"/>
          <w:szCs w:val="20"/>
          <w:lang w:val="en-IN"/>
        </w:rPr>
        <w:t xml:space="preserve">Charani, E., Castro-Sanchez, E., </w:t>
      </w:r>
      <w:proofErr w:type="spellStart"/>
      <w:r w:rsidRPr="001C6BC5">
        <w:rPr>
          <w:rFonts w:asciiTheme="majorBidi" w:hAnsiTheme="majorBidi" w:cstheme="majorBidi"/>
          <w:sz w:val="20"/>
          <w:szCs w:val="20"/>
          <w:lang w:val="en-IN"/>
        </w:rPr>
        <w:t>Sevdalis</w:t>
      </w:r>
      <w:proofErr w:type="spellEnd"/>
      <w:r w:rsidRPr="001C6BC5">
        <w:rPr>
          <w:rFonts w:asciiTheme="majorBidi" w:hAnsiTheme="majorBidi" w:cstheme="majorBidi"/>
          <w:sz w:val="20"/>
          <w:szCs w:val="20"/>
          <w:lang w:val="en-IN"/>
        </w:rPr>
        <w:t xml:space="preserve">, N., </w:t>
      </w:r>
      <w:proofErr w:type="spellStart"/>
      <w:r w:rsidRPr="001C6BC5">
        <w:rPr>
          <w:rFonts w:asciiTheme="majorBidi" w:hAnsiTheme="majorBidi" w:cstheme="majorBidi"/>
          <w:sz w:val="20"/>
          <w:szCs w:val="20"/>
          <w:lang w:val="en-IN"/>
        </w:rPr>
        <w:t>Kyratsis</w:t>
      </w:r>
      <w:proofErr w:type="spellEnd"/>
      <w:r w:rsidRPr="001C6BC5">
        <w:rPr>
          <w:rFonts w:asciiTheme="majorBidi" w:hAnsiTheme="majorBidi" w:cstheme="majorBidi"/>
          <w:sz w:val="20"/>
          <w:szCs w:val="20"/>
          <w:lang w:val="en-IN"/>
        </w:rPr>
        <w:t xml:space="preserve">, Y., Drumright, L., Shah, N., et al. (2013). Understanding the determinants of antimicrobial prescribing within hospitals: The role of “prescribing etiquette”. </w:t>
      </w:r>
      <w:r w:rsidRPr="001C6BC5">
        <w:rPr>
          <w:rFonts w:asciiTheme="majorBidi" w:hAnsiTheme="majorBidi" w:cstheme="majorBidi"/>
          <w:i/>
          <w:iCs/>
          <w:sz w:val="20"/>
          <w:szCs w:val="20"/>
          <w:lang w:val="en-IN"/>
        </w:rPr>
        <w:t>Clinical Infectious Diseases</w:t>
      </w:r>
      <w:r w:rsidRPr="001C6BC5">
        <w:rPr>
          <w:rFonts w:asciiTheme="majorBidi" w:hAnsiTheme="majorBidi" w:cstheme="majorBidi"/>
          <w:sz w:val="20"/>
          <w:szCs w:val="20"/>
          <w:lang w:val="en-IN"/>
        </w:rPr>
        <w:t xml:space="preserve">. </w:t>
      </w:r>
      <w:hyperlink r:id="rId16" w:tgtFrame="_new" w:history="1">
        <w:r w:rsidRPr="001C6BC5">
          <w:rPr>
            <w:rStyle w:val="Hyperlink"/>
            <w:rFonts w:asciiTheme="majorBidi" w:hAnsiTheme="majorBidi" w:cstheme="majorBidi"/>
            <w:color w:val="auto"/>
            <w:sz w:val="20"/>
            <w:szCs w:val="20"/>
            <w:u w:val="none"/>
            <w:lang w:val="en-IN"/>
          </w:rPr>
          <w:t>https://doi.org/10.1093/cid/cit212</w:t>
        </w:r>
      </w:hyperlink>
    </w:p>
    <w:p w14:paraId="4953969F"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1C6BC5">
        <w:rPr>
          <w:rFonts w:asciiTheme="majorBidi" w:hAnsiTheme="majorBidi" w:cstheme="majorBidi"/>
          <w:sz w:val="20"/>
          <w:szCs w:val="20"/>
          <w:lang w:val="en-IN"/>
        </w:rPr>
        <w:t xml:space="preserve">Chen, T., &amp; </w:t>
      </w:r>
      <w:proofErr w:type="spellStart"/>
      <w:r w:rsidRPr="001C6BC5">
        <w:rPr>
          <w:rFonts w:asciiTheme="majorBidi" w:hAnsiTheme="majorBidi" w:cstheme="majorBidi"/>
          <w:sz w:val="20"/>
          <w:szCs w:val="20"/>
          <w:lang w:val="en-IN"/>
        </w:rPr>
        <w:t>Guestrin</w:t>
      </w:r>
      <w:proofErr w:type="spellEnd"/>
      <w:r w:rsidRPr="001C6BC5">
        <w:rPr>
          <w:rFonts w:asciiTheme="majorBidi" w:hAnsiTheme="majorBidi" w:cstheme="majorBidi"/>
          <w:sz w:val="20"/>
          <w:szCs w:val="20"/>
          <w:lang w:val="en-IN"/>
        </w:rPr>
        <w:t xml:space="preserve">, C. (2016). </w:t>
      </w:r>
      <w:proofErr w:type="spellStart"/>
      <w:r w:rsidRPr="001C6BC5">
        <w:rPr>
          <w:rFonts w:asciiTheme="majorBidi" w:hAnsiTheme="majorBidi" w:cstheme="majorBidi"/>
          <w:sz w:val="20"/>
          <w:szCs w:val="20"/>
          <w:lang w:val="en-IN"/>
        </w:rPr>
        <w:t>XGBoost</w:t>
      </w:r>
      <w:proofErr w:type="spellEnd"/>
      <w:r w:rsidRPr="001C6BC5">
        <w:rPr>
          <w:rFonts w:asciiTheme="majorBidi" w:hAnsiTheme="majorBidi" w:cstheme="majorBidi"/>
          <w:sz w:val="20"/>
          <w:szCs w:val="20"/>
          <w:lang w:val="en-IN"/>
        </w:rPr>
        <w:t xml:space="preserve">: A scalable tree boosting system. </w:t>
      </w:r>
      <w:r w:rsidRPr="001C6BC5">
        <w:rPr>
          <w:rFonts w:asciiTheme="majorBidi" w:hAnsiTheme="majorBidi" w:cstheme="majorBidi"/>
          <w:i/>
          <w:iCs/>
          <w:sz w:val="20"/>
          <w:szCs w:val="20"/>
          <w:lang w:val="en-IN"/>
        </w:rPr>
        <w:t>Proceedings of the 22nd ACM SIGKDD International Conference on Knowledge Discovery and Data Mining</w:t>
      </w:r>
      <w:r w:rsidRPr="001C6BC5">
        <w:rPr>
          <w:rFonts w:asciiTheme="majorBidi" w:hAnsiTheme="majorBidi" w:cstheme="majorBidi"/>
          <w:sz w:val="20"/>
          <w:szCs w:val="20"/>
          <w:lang w:val="en-IN"/>
        </w:rPr>
        <w:t xml:space="preserve">. </w:t>
      </w:r>
      <w:hyperlink r:id="rId17" w:tgtFrame="_new" w:history="1">
        <w:r w:rsidRPr="001C6BC5">
          <w:rPr>
            <w:rStyle w:val="Hyperlink"/>
            <w:rFonts w:asciiTheme="majorBidi" w:hAnsiTheme="majorBidi" w:cstheme="majorBidi"/>
            <w:color w:val="auto"/>
            <w:sz w:val="20"/>
            <w:szCs w:val="20"/>
            <w:u w:val="none"/>
            <w:lang w:val="en-IN"/>
          </w:rPr>
          <w:t>https://doi.org/10.1145/2939672.2939785</w:t>
        </w:r>
      </w:hyperlink>
    </w:p>
    <w:p w14:paraId="26C61C78"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1C6BC5">
        <w:rPr>
          <w:rFonts w:asciiTheme="majorBidi" w:hAnsiTheme="majorBidi" w:cstheme="majorBidi"/>
          <w:sz w:val="20"/>
          <w:szCs w:val="20"/>
          <w:lang w:val="en-IN"/>
        </w:rPr>
        <w:t xml:space="preserve">Collins, G. S., Reitsma, J. B., Altman, D. G., &amp; Moons, K. G. M. (2015). Transparent reporting of a multivariable prediction model for individual prognosis or diagnosis (TRIPOD): The TRIPOD statement. </w:t>
      </w:r>
      <w:r w:rsidRPr="001C6BC5">
        <w:rPr>
          <w:rFonts w:asciiTheme="majorBidi" w:hAnsiTheme="majorBidi" w:cstheme="majorBidi"/>
          <w:i/>
          <w:iCs/>
          <w:sz w:val="20"/>
          <w:szCs w:val="20"/>
          <w:lang w:val="en-IN"/>
        </w:rPr>
        <w:t>Annals of Internal Medicine, 162</w:t>
      </w:r>
      <w:r w:rsidRPr="001C6BC5">
        <w:rPr>
          <w:rFonts w:asciiTheme="majorBidi" w:hAnsiTheme="majorBidi" w:cstheme="majorBidi"/>
          <w:sz w:val="20"/>
          <w:szCs w:val="20"/>
          <w:lang w:val="en-IN"/>
        </w:rPr>
        <w:t xml:space="preserve">(1), 55–63. </w:t>
      </w:r>
      <w:hyperlink r:id="rId18" w:tgtFrame="_new" w:history="1">
        <w:r w:rsidRPr="001C6BC5">
          <w:rPr>
            <w:rStyle w:val="Hyperlink"/>
            <w:rFonts w:asciiTheme="majorBidi" w:hAnsiTheme="majorBidi" w:cstheme="majorBidi"/>
            <w:color w:val="auto"/>
            <w:sz w:val="20"/>
            <w:szCs w:val="20"/>
            <w:u w:val="none"/>
            <w:lang w:val="en-IN"/>
          </w:rPr>
          <w:t>https://doi.org/10.7326/M14-0697</w:t>
        </w:r>
      </w:hyperlink>
    </w:p>
    <w:p w14:paraId="193EDEBE"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1C6BC5">
        <w:rPr>
          <w:rFonts w:asciiTheme="majorBidi" w:hAnsiTheme="majorBidi" w:cstheme="majorBidi"/>
          <w:sz w:val="20"/>
          <w:szCs w:val="20"/>
          <w:lang w:val="en-IN"/>
        </w:rPr>
        <w:t xml:space="preserve">Didelot, X., Fraser, C., Gardy, J., &amp; Colijn, C. (2017). Genomic infectious disease epidemiology in partially sampled and ongoing outbreaks. </w:t>
      </w:r>
      <w:r w:rsidRPr="001C6BC5">
        <w:rPr>
          <w:rFonts w:asciiTheme="majorBidi" w:hAnsiTheme="majorBidi" w:cstheme="majorBidi"/>
          <w:i/>
          <w:iCs/>
          <w:sz w:val="20"/>
          <w:szCs w:val="20"/>
          <w:lang w:val="en-IN"/>
        </w:rPr>
        <w:t>Molecular Biology and Evolution</w:t>
      </w:r>
      <w:r w:rsidRPr="001C6BC5">
        <w:rPr>
          <w:rFonts w:asciiTheme="majorBidi" w:hAnsiTheme="majorBidi" w:cstheme="majorBidi"/>
          <w:sz w:val="20"/>
          <w:szCs w:val="20"/>
          <w:lang w:val="en-IN"/>
        </w:rPr>
        <w:t xml:space="preserve">. </w:t>
      </w:r>
      <w:hyperlink r:id="rId19" w:tgtFrame="_new" w:history="1">
        <w:r w:rsidRPr="001C6BC5">
          <w:rPr>
            <w:rStyle w:val="Hyperlink"/>
            <w:rFonts w:asciiTheme="majorBidi" w:hAnsiTheme="majorBidi" w:cstheme="majorBidi"/>
            <w:color w:val="auto"/>
            <w:sz w:val="20"/>
            <w:szCs w:val="20"/>
            <w:u w:val="none"/>
            <w:lang w:val="en-IN"/>
          </w:rPr>
          <w:t>https://doi.org/10.1093/molbev/msw275</w:t>
        </w:r>
      </w:hyperlink>
    </w:p>
    <w:p w14:paraId="1BF3ECE0"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1C6BC5">
        <w:rPr>
          <w:rFonts w:asciiTheme="majorBidi" w:hAnsiTheme="majorBidi" w:cstheme="majorBidi"/>
          <w:sz w:val="20"/>
          <w:szCs w:val="20"/>
          <w:lang w:val="en-IN"/>
        </w:rPr>
        <w:t xml:space="preserve">Dyar, O. J., Pagani, L., &amp; Pulcini, C. (2015). Strategies and challenges of antimicrobial stewardship in long-term care facilities. </w:t>
      </w:r>
      <w:r w:rsidRPr="001C6BC5">
        <w:rPr>
          <w:rFonts w:asciiTheme="majorBidi" w:hAnsiTheme="majorBidi" w:cstheme="majorBidi"/>
          <w:i/>
          <w:iCs/>
          <w:sz w:val="20"/>
          <w:szCs w:val="20"/>
          <w:lang w:val="en-IN"/>
        </w:rPr>
        <w:t>Clinical Microbiology and Infection, 21</w:t>
      </w:r>
      <w:r w:rsidRPr="001C6BC5">
        <w:rPr>
          <w:rFonts w:asciiTheme="majorBidi" w:hAnsiTheme="majorBidi" w:cstheme="majorBidi"/>
          <w:sz w:val="20"/>
          <w:szCs w:val="20"/>
          <w:lang w:val="en-IN"/>
        </w:rPr>
        <w:t xml:space="preserve">(1), 10–19. </w:t>
      </w:r>
      <w:hyperlink r:id="rId20" w:tgtFrame="_new" w:history="1">
        <w:r w:rsidRPr="001C6BC5">
          <w:rPr>
            <w:rStyle w:val="Hyperlink"/>
            <w:rFonts w:asciiTheme="majorBidi" w:hAnsiTheme="majorBidi" w:cstheme="majorBidi"/>
            <w:color w:val="auto"/>
            <w:sz w:val="20"/>
            <w:szCs w:val="20"/>
            <w:u w:val="none"/>
            <w:lang w:val="en-IN"/>
          </w:rPr>
          <w:t>https://doi.org/10.1016/j.cmi.2014.09.005</w:t>
        </w:r>
      </w:hyperlink>
    </w:p>
    <w:p w14:paraId="77D31CA5"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1C6BC5">
        <w:rPr>
          <w:rFonts w:asciiTheme="majorBidi" w:hAnsiTheme="majorBidi" w:cstheme="majorBidi"/>
          <w:sz w:val="20"/>
          <w:szCs w:val="20"/>
          <w:lang w:val="en-IN"/>
        </w:rPr>
        <w:t xml:space="preserve">Esteva, A., Robicquet, A., Ramsundar, B., Kuleshov, V., DePristo, M., Chou, K., et al. (2019). A guide to deep learning in healthcare. </w:t>
      </w:r>
      <w:r w:rsidRPr="001C6BC5">
        <w:rPr>
          <w:rFonts w:asciiTheme="majorBidi" w:hAnsiTheme="majorBidi" w:cstheme="majorBidi"/>
          <w:i/>
          <w:iCs/>
          <w:sz w:val="20"/>
          <w:szCs w:val="20"/>
          <w:lang w:val="en-IN"/>
        </w:rPr>
        <w:t>Nature Medicine, 25</w:t>
      </w:r>
      <w:r w:rsidRPr="001C6BC5">
        <w:rPr>
          <w:rFonts w:asciiTheme="majorBidi" w:hAnsiTheme="majorBidi" w:cstheme="majorBidi"/>
          <w:sz w:val="20"/>
          <w:szCs w:val="20"/>
          <w:lang w:val="en-IN"/>
        </w:rPr>
        <w:t xml:space="preserve">(1), 24–29. </w:t>
      </w:r>
      <w:hyperlink r:id="rId21" w:tgtFrame="_new" w:history="1">
        <w:r w:rsidRPr="001C6BC5">
          <w:rPr>
            <w:rStyle w:val="Hyperlink"/>
            <w:rFonts w:asciiTheme="majorBidi" w:hAnsiTheme="majorBidi" w:cstheme="majorBidi"/>
            <w:color w:val="auto"/>
            <w:sz w:val="20"/>
            <w:szCs w:val="20"/>
            <w:u w:val="none"/>
            <w:lang w:val="en-IN"/>
          </w:rPr>
          <w:t>https://doi.org/10.1038/s41591-018-0316-z</w:t>
        </w:r>
      </w:hyperlink>
    </w:p>
    <w:p w14:paraId="78FEECE2"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8F6CDA">
        <w:rPr>
          <w:rFonts w:asciiTheme="majorBidi" w:hAnsiTheme="majorBidi" w:cstheme="majorBidi"/>
          <w:sz w:val="20"/>
          <w:szCs w:val="20"/>
          <w:lang w:val="pt-PT"/>
        </w:rPr>
        <w:t xml:space="preserve">Kanj, S. S., &amp; Kanafani, Z. A. (2011). </w:t>
      </w:r>
      <w:r w:rsidRPr="001C6BC5">
        <w:rPr>
          <w:rFonts w:asciiTheme="majorBidi" w:hAnsiTheme="majorBidi" w:cstheme="majorBidi"/>
          <w:sz w:val="20"/>
          <w:szCs w:val="20"/>
          <w:lang w:val="en-IN"/>
        </w:rPr>
        <w:t xml:space="preserve">Current concepts in antimicrobial therapy against resistant gram-negative organisms. </w:t>
      </w:r>
      <w:r w:rsidRPr="001C6BC5">
        <w:rPr>
          <w:rFonts w:asciiTheme="majorBidi" w:hAnsiTheme="majorBidi" w:cstheme="majorBidi"/>
          <w:i/>
          <w:iCs/>
          <w:sz w:val="20"/>
          <w:szCs w:val="20"/>
          <w:lang w:val="en-IN"/>
        </w:rPr>
        <w:t>Mayo Clinic Proceedings</w:t>
      </w:r>
      <w:r w:rsidRPr="001C6BC5">
        <w:rPr>
          <w:rFonts w:asciiTheme="majorBidi" w:hAnsiTheme="majorBidi" w:cstheme="majorBidi"/>
          <w:sz w:val="20"/>
          <w:szCs w:val="20"/>
          <w:lang w:val="en-IN"/>
        </w:rPr>
        <w:t xml:space="preserve">. </w:t>
      </w:r>
      <w:hyperlink r:id="rId22" w:tgtFrame="_new" w:history="1">
        <w:r w:rsidRPr="001C6BC5">
          <w:rPr>
            <w:rStyle w:val="Hyperlink"/>
            <w:rFonts w:asciiTheme="majorBidi" w:hAnsiTheme="majorBidi" w:cstheme="majorBidi"/>
            <w:color w:val="auto"/>
            <w:sz w:val="20"/>
            <w:szCs w:val="20"/>
            <w:u w:val="none"/>
            <w:lang w:val="en-IN"/>
          </w:rPr>
          <w:t>https://doi.org/10.4065/mcp.2010.0674</w:t>
        </w:r>
      </w:hyperlink>
    </w:p>
    <w:p w14:paraId="66D29F8C"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1C6BC5">
        <w:rPr>
          <w:rFonts w:asciiTheme="majorBidi" w:hAnsiTheme="majorBidi" w:cstheme="majorBidi"/>
          <w:sz w:val="20"/>
          <w:szCs w:val="20"/>
          <w:lang w:val="en-IN"/>
        </w:rPr>
        <w:t xml:space="preserve">Kelly, C. J., </w:t>
      </w:r>
      <w:proofErr w:type="spellStart"/>
      <w:r w:rsidRPr="001C6BC5">
        <w:rPr>
          <w:rFonts w:asciiTheme="majorBidi" w:hAnsiTheme="majorBidi" w:cstheme="majorBidi"/>
          <w:sz w:val="20"/>
          <w:szCs w:val="20"/>
          <w:lang w:val="en-IN"/>
        </w:rPr>
        <w:t>Karthikesalingam</w:t>
      </w:r>
      <w:proofErr w:type="spellEnd"/>
      <w:r w:rsidRPr="001C6BC5">
        <w:rPr>
          <w:rFonts w:asciiTheme="majorBidi" w:hAnsiTheme="majorBidi" w:cstheme="majorBidi"/>
          <w:sz w:val="20"/>
          <w:szCs w:val="20"/>
          <w:lang w:val="en-IN"/>
        </w:rPr>
        <w:t xml:space="preserve">, A., Suleyman, M., Corrado, G., &amp; King, D. (2019). Key challenges for delivering clinical impact with artificial intelligence. </w:t>
      </w:r>
      <w:r w:rsidRPr="001C6BC5">
        <w:rPr>
          <w:rFonts w:asciiTheme="majorBidi" w:hAnsiTheme="majorBidi" w:cstheme="majorBidi"/>
          <w:i/>
          <w:iCs/>
          <w:sz w:val="20"/>
          <w:szCs w:val="20"/>
          <w:lang w:val="en-IN"/>
        </w:rPr>
        <w:t>BMC Medicine, 17</w:t>
      </w:r>
      <w:r w:rsidRPr="001C6BC5">
        <w:rPr>
          <w:rFonts w:asciiTheme="majorBidi" w:hAnsiTheme="majorBidi" w:cstheme="majorBidi"/>
          <w:sz w:val="20"/>
          <w:szCs w:val="20"/>
          <w:lang w:val="en-IN"/>
        </w:rPr>
        <w:t xml:space="preserve">, 195. </w:t>
      </w:r>
      <w:hyperlink r:id="rId23" w:tgtFrame="_new" w:history="1">
        <w:r w:rsidRPr="001C6BC5">
          <w:rPr>
            <w:rStyle w:val="Hyperlink"/>
            <w:rFonts w:asciiTheme="majorBidi" w:hAnsiTheme="majorBidi" w:cstheme="majorBidi"/>
            <w:color w:val="auto"/>
            <w:sz w:val="20"/>
            <w:szCs w:val="20"/>
            <w:u w:val="none"/>
            <w:lang w:val="en-IN"/>
          </w:rPr>
          <w:t>https://doi.org/10.1186/s12916-019-1426-2</w:t>
        </w:r>
      </w:hyperlink>
    </w:p>
    <w:p w14:paraId="393FAB08" w14:textId="77777777" w:rsidR="001C6BC5" w:rsidRPr="008F6CDA" w:rsidRDefault="001C6BC5" w:rsidP="00F219A5">
      <w:pPr>
        <w:spacing w:before="40" w:after="0" w:line="240" w:lineRule="auto"/>
        <w:ind w:left="540" w:hanging="540"/>
        <w:jc w:val="both"/>
        <w:rPr>
          <w:rFonts w:asciiTheme="majorBidi" w:hAnsiTheme="majorBidi" w:cstheme="majorBidi"/>
          <w:sz w:val="20"/>
          <w:szCs w:val="20"/>
          <w:lang w:val="pt-PT"/>
        </w:rPr>
      </w:pPr>
      <w:r w:rsidRPr="001C6BC5">
        <w:rPr>
          <w:rFonts w:asciiTheme="majorBidi" w:hAnsiTheme="majorBidi" w:cstheme="majorBidi"/>
          <w:sz w:val="20"/>
          <w:szCs w:val="20"/>
          <w:lang w:val="en-IN"/>
        </w:rPr>
        <w:lastRenderedPageBreak/>
        <w:t xml:space="preserve">Klein, E. Y., et al. (2018). Global increase and geographic convergence in antibiotic consumption. </w:t>
      </w:r>
      <w:r w:rsidRPr="008F6CDA">
        <w:rPr>
          <w:rFonts w:asciiTheme="majorBidi" w:hAnsiTheme="majorBidi" w:cstheme="majorBidi"/>
          <w:i/>
          <w:iCs/>
          <w:sz w:val="20"/>
          <w:szCs w:val="20"/>
          <w:lang w:val="pt-PT"/>
        </w:rPr>
        <w:t>PNAS</w:t>
      </w:r>
      <w:r w:rsidRPr="008F6CDA">
        <w:rPr>
          <w:rFonts w:asciiTheme="majorBidi" w:hAnsiTheme="majorBidi" w:cstheme="majorBidi"/>
          <w:sz w:val="20"/>
          <w:szCs w:val="20"/>
          <w:lang w:val="pt-PT"/>
        </w:rPr>
        <w:t xml:space="preserve">. </w:t>
      </w:r>
      <w:hyperlink r:id="rId24" w:tgtFrame="_new" w:history="1">
        <w:r w:rsidRPr="008F6CDA">
          <w:rPr>
            <w:rStyle w:val="Hyperlink"/>
            <w:rFonts w:asciiTheme="majorBidi" w:hAnsiTheme="majorBidi" w:cstheme="majorBidi"/>
            <w:color w:val="auto"/>
            <w:sz w:val="20"/>
            <w:szCs w:val="20"/>
            <w:u w:val="none"/>
            <w:lang w:val="pt-PT"/>
          </w:rPr>
          <w:t>https://doi.org/10.1073/pnas.1717295115</w:t>
        </w:r>
      </w:hyperlink>
    </w:p>
    <w:p w14:paraId="5A911E55"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8F6CDA">
        <w:rPr>
          <w:rFonts w:asciiTheme="majorBidi" w:hAnsiTheme="majorBidi" w:cstheme="majorBidi"/>
          <w:sz w:val="20"/>
          <w:szCs w:val="20"/>
          <w:lang w:val="pt-PT"/>
        </w:rPr>
        <w:t xml:space="preserve">Komorowski, M., Celi, L. A., Badawi, O., Gordon, A. C., &amp; Faisal, A. A. (2018). </w:t>
      </w:r>
      <w:r w:rsidRPr="001C6BC5">
        <w:rPr>
          <w:rFonts w:asciiTheme="majorBidi" w:hAnsiTheme="majorBidi" w:cstheme="majorBidi"/>
          <w:sz w:val="20"/>
          <w:szCs w:val="20"/>
          <w:lang w:val="en-IN"/>
        </w:rPr>
        <w:t xml:space="preserve">The artificial intelligence clinician learns optimal treatment strategies for sepsis in intensive care. </w:t>
      </w:r>
      <w:r w:rsidRPr="001C6BC5">
        <w:rPr>
          <w:rFonts w:asciiTheme="majorBidi" w:hAnsiTheme="majorBidi" w:cstheme="majorBidi"/>
          <w:i/>
          <w:iCs/>
          <w:sz w:val="20"/>
          <w:szCs w:val="20"/>
          <w:lang w:val="en-IN"/>
        </w:rPr>
        <w:t>Nature Medicine, 24</w:t>
      </w:r>
      <w:r w:rsidRPr="001C6BC5">
        <w:rPr>
          <w:rFonts w:asciiTheme="majorBidi" w:hAnsiTheme="majorBidi" w:cstheme="majorBidi"/>
          <w:sz w:val="20"/>
          <w:szCs w:val="20"/>
          <w:lang w:val="en-IN"/>
        </w:rPr>
        <w:t xml:space="preserve">(11), 1716–1720. </w:t>
      </w:r>
      <w:hyperlink r:id="rId25" w:tgtFrame="_new" w:history="1">
        <w:r w:rsidRPr="001C6BC5">
          <w:rPr>
            <w:rStyle w:val="Hyperlink"/>
            <w:rFonts w:asciiTheme="majorBidi" w:hAnsiTheme="majorBidi" w:cstheme="majorBidi"/>
            <w:color w:val="auto"/>
            <w:sz w:val="20"/>
            <w:szCs w:val="20"/>
            <w:u w:val="none"/>
            <w:lang w:val="en-IN"/>
          </w:rPr>
          <w:t>https://doi.org/10.1038/s41591-018-0216-3</w:t>
        </w:r>
      </w:hyperlink>
    </w:p>
    <w:p w14:paraId="0C458736"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proofErr w:type="spellStart"/>
      <w:r w:rsidRPr="001C6BC5">
        <w:rPr>
          <w:rFonts w:asciiTheme="majorBidi" w:hAnsiTheme="majorBidi" w:cstheme="majorBidi"/>
          <w:sz w:val="20"/>
          <w:szCs w:val="20"/>
          <w:lang w:val="en-IN"/>
        </w:rPr>
        <w:t>Kotwani</w:t>
      </w:r>
      <w:proofErr w:type="spellEnd"/>
      <w:r w:rsidRPr="001C6BC5">
        <w:rPr>
          <w:rFonts w:asciiTheme="majorBidi" w:hAnsiTheme="majorBidi" w:cstheme="majorBidi"/>
          <w:sz w:val="20"/>
          <w:szCs w:val="20"/>
          <w:lang w:val="en-IN"/>
        </w:rPr>
        <w:t xml:space="preserve">, A., &amp; Holloway, K. (2016). Antibiotic use and misuse in India. </w:t>
      </w:r>
      <w:r w:rsidRPr="001C6BC5">
        <w:rPr>
          <w:rFonts w:asciiTheme="majorBidi" w:hAnsiTheme="majorBidi" w:cstheme="majorBidi"/>
          <w:i/>
          <w:iCs/>
          <w:sz w:val="20"/>
          <w:szCs w:val="20"/>
          <w:lang w:val="en-IN"/>
        </w:rPr>
        <w:t>BMJ Global Health</w:t>
      </w:r>
      <w:r w:rsidRPr="001C6BC5">
        <w:rPr>
          <w:rFonts w:asciiTheme="majorBidi" w:hAnsiTheme="majorBidi" w:cstheme="majorBidi"/>
          <w:sz w:val="20"/>
          <w:szCs w:val="20"/>
          <w:lang w:val="en-IN"/>
        </w:rPr>
        <w:t xml:space="preserve">. </w:t>
      </w:r>
      <w:hyperlink r:id="rId26" w:tgtFrame="_new" w:history="1">
        <w:r w:rsidRPr="001C6BC5">
          <w:rPr>
            <w:rStyle w:val="Hyperlink"/>
            <w:rFonts w:asciiTheme="majorBidi" w:hAnsiTheme="majorBidi" w:cstheme="majorBidi"/>
            <w:color w:val="auto"/>
            <w:sz w:val="20"/>
            <w:szCs w:val="20"/>
            <w:u w:val="none"/>
            <w:lang w:val="en-IN"/>
          </w:rPr>
          <w:t>https://doi.org/10.1136/bmjgh-2016-000118</w:t>
        </w:r>
      </w:hyperlink>
    </w:p>
    <w:p w14:paraId="6260DE68"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1C6BC5">
        <w:rPr>
          <w:rFonts w:asciiTheme="majorBidi" w:hAnsiTheme="majorBidi" w:cstheme="majorBidi"/>
          <w:sz w:val="20"/>
          <w:szCs w:val="20"/>
          <w:lang w:val="en-IN"/>
        </w:rPr>
        <w:t xml:space="preserve">Laxminarayan, R., et al. (2013). Antibiotic resistance—the need for global solutions. </w:t>
      </w:r>
      <w:r w:rsidRPr="001C6BC5">
        <w:rPr>
          <w:rFonts w:asciiTheme="majorBidi" w:hAnsiTheme="majorBidi" w:cstheme="majorBidi"/>
          <w:i/>
          <w:iCs/>
          <w:sz w:val="20"/>
          <w:szCs w:val="20"/>
          <w:lang w:val="en-IN"/>
        </w:rPr>
        <w:t>The Lancet Infectious Diseases</w:t>
      </w:r>
      <w:r w:rsidRPr="001C6BC5">
        <w:rPr>
          <w:rFonts w:asciiTheme="majorBidi" w:hAnsiTheme="majorBidi" w:cstheme="majorBidi"/>
          <w:sz w:val="20"/>
          <w:szCs w:val="20"/>
          <w:lang w:val="en-IN"/>
        </w:rPr>
        <w:t xml:space="preserve">. </w:t>
      </w:r>
      <w:hyperlink r:id="rId27" w:tgtFrame="_new" w:history="1">
        <w:r w:rsidRPr="001C6BC5">
          <w:rPr>
            <w:rStyle w:val="Hyperlink"/>
            <w:rFonts w:asciiTheme="majorBidi" w:hAnsiTheme="majorBidi" w:cstheme="majorBidi"/>
            <w:color w:val="auto"/>
            <w:sz w:val="20"/>
            <w:szCs w:val="20"/>
            <w:u w:val="none"/>
            <w:lang w:val="en-IN"/>
          </w:rPr>
          <w:t>https://doi.org/10.1016/S1473-3099(13)70318-9</w:t>
        </w:r>
      </w:hyperlink>
    </w:p>
    <w:p w14:paraId="39413A09"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1C6BC5">
        <w:rPr>
          <w:rFonts w:asciiTheme="majorBidi" w:hAnsiTheme="majorBidi" w:cstheme="majorBidi"/>
          <w:sz w:val="20"/>
          <w:szCs w:val="20"/>
          <w:lang w:val="en-IN"/>
        </w:rPr>
        <w:t xml:space="preserve">Liu, Y., et al. (2019). A comparison of deep learning performance against health-care professionals. </w:t>
      </w:r>
      <w:r w:rsidRPr="001C6BC5">
        <w:rPr>
          <w:rFonts w:asciiTheme="majorBidi" w:hAnsiTheme="majorBidi" w:cstheme="majorBidi"/>
          <w:i/>
          <w:iCs/>
          <w:sz w:val="20"/>
          <w:szCs w:val="20"/>
          <w:lang w:val="en-IN"/>
        </w:rPr>
        <w:t>The Lancet Digital Health</w:t>
      </w:r>
      <w:r w:rsidRPr="001C6BC5">
        <w:rPr>
          <w:rFonts w:asciiTheme="majorBidi" w:hAnsiTheme="majorBidi" w:cstheme="majorBidi"/>
          <w:sz w:val="20"/>
          <w:szCs w:val="20"/>
          <w:lang w:val="en-IN"/>
        </w:rPr>
        <w:t xml:space="preserve">. </w:t>
      </w:r>
      <w:hyperlink r:id="rId28" w:tgtFrame="_new" w:history="1">
        <w:r w:rsidRPr="001C6BC5">
          <w:rPr>
            <w:rStyle w:val="Hyperlink"/>
            <w:rFonts w:asciiTheme="majorBidi" w:hAnsiTheme="majorBidi" w:cstheme="majorBidi"/>
            <w:color w:val="auto"/>
            <w:sz w:val="20"/>
            <w:szCs w:val="20"/>
            <w:u w:val="none"/>
            <w:lang w:val="en-IN"/>
          </w:rPr>
          <w:t>https://doi.org/10.1016/S2589-7500(19)30123-2</w:t>
        </w:r>
      </w:hyperlink>
    </w:p>
    <w:p w14:paraId="165C4796"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proofErr w:type="spellStart"/>
      <w:r w:rsidRPr="001C6BC5">
        <w:rPr>
          <w:rFonts w:asciiTheme="majorBidi" w:hAnsiTheme="majorBidi" w:cstheme="majorBidi"/>
          <w:sz w:val="20"/>
          <w:szCs w:val="20"/>
          <w:lang w:val="en-IN"/>
        </w:rPr>
        <w:t>Llor</w:t>
      </w:r>
      <w:proofErr w:type="spellEnd"/>
      <w:r w:rsidRPr="001C6BC5">
        <w:rPr>
          <w:rFonts w:asciiTheme="majorBidi" w:hAnsiTheme="majorBidi" w:cstheme="majorBidi"/>
          <w:sz w:val="20"/>
          <w:szCs w:val="20"/>
          <w:lang w:val="en-IN"/>
        </w:rPr>
        <w:t xml:space="preserve">, C., &amp; Bjerrum, L. (2014). Antimicrobial resistance: Risk associated with antibiotic overuse and initiatives to reduce the problem. </w:t>
      </w:r>
      <w:r w:rsidRPr="001C6BC5">
        <w:rPr>
          <w:rFonts w:asciiTheme="majorBidi" w:hAnsiTheme="majorBidi" w:cstheme="majorBidi"/>
          <w:i/>
          <w:iCs/>
          <w:sz w:val="20"/>
          <w:szCs w:val="20"/>
          <w:lang w:val="en-IN"/>
        </w:rPr>
        <w:t>Therapeutic Advances in Drug Safety</w:t>
      </w:r>
      <w:r w:rsidRPr="001C6BC5">
        <w:rPr>
          <w:rFonts w:asciiTheme="majorBidi" w:hAnsiTheme="majorBidi" w:cstheme="majorBidi"/>
          <w:sz w:val="20"/>
          <w:szCs w:val="20"/>
          <w:lang w:val="en-IN"/>
        </w:rPr>
        <w:t xml:space="preserve">. </w:t>
      </w:r>
      <w:hyperlink r:id="rId29" w:tgtFrame="_new" w:history="1">
        <w:r w:rsidRPr="001C6BC5">
          <w:rPr>
            <w:rStyle w:val="Hyperlink"/>
            <w:rFonts w:asciiTheme="majorBidi" w:hAnsiTheme="majorBidi" w:cstheme="majorBidi"/>
            <w:color w:val="auto"/>
            <w:sz w:val="20"/>
            <w:szCs w:val="20"/>
            <w:u w:val="none"/>
            <w:lang w:val="en-IN"/>
          </w:rPr>
          <w:t>https://doi.org/10.1177/2042098614554919</w:t>
        </w:r>
      </w:hyperlink>
    </w:p>
    <w:p w14:paraId="6D32F093"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1C6BC5">
        <w:rPr>
          <w:rFonts w:asciiTheme="majorBidi" w:hAnsiTheme="majorBidi" w:cstheme="majorBidi"/>
          <w:sz w:val="20"/>
          <w:szCs w:val="20"/>
          <w:lang w:val="en-IN"/>
        </w:rPr>
        <w:t xml:space="preserve">O'Neill, J. (2016). </w:t>
      </w:r>
      <w:r w:rsidRPr="001C6BC5">
        <w:rPr>
          <w:rFonts w:asciiTheme="majorBidi" w:hAnsiTheme="majorBidi" w:cstheme="majorBidi"/>
          <w:i/>
          <w:iCs/>
          <w:sz w:val="20"/>
          <w:szCs w:val="20"/>
          <w:lang w:val="en-IN"/>
        </w:rPr>
        <w:t>Tackling drug-resistant infections globally: Final report and recommendations</w:t>
      </w:r>
      <w:r w:rsidRPr="001C6BC5">
        <w:rPr>
          <w:rFonts w:asciiTheme="majorBidi" w:hAnsiTheme="majorBidi" w:cstheme="majorBidi"/>
          <w:sz w:val="20"/>
          <w:szCs w:val="20"/>
          <w:lang w:val="en-IN"/>
        </w:rPr>
        <w:t xml:space="preserve">. Review on Antimicrobial Resistance. </w:t>
      </w:r>
      <w:hyperlink r:id="rId30" w:tgtFrame="_new" w:history="1">
        <w:r w:rsidRPr="001C6BC5">
          <w:rPr>
            <w:rStyle w:val="Hyperlink"/>
            <w:rFonts w:asciiTheme="majorBidi" w:hAnsiTheme="majorBidi" w:cstheme="majorBidi"/>
            <w:color w:val="auto"/>
            <w:sz w:val="20"/>
            <w:szCs w:val="20"/>
            <w:u w:val="none"/>
            <w:lang w:val="en-IN"/>
          </w:rPr>
          <w:t>https://amr-review.org/sites/default/files/160525_Final%20paper_with%20cover.pdf</w:t>
        </w:r>
      </w:hyperlink>
    </w:p>
    <w:p w14:paraId="56442240"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1C6BC5">
        <w:rPr>
          <w:rFonts w:asciiTheme="majorBidi" w:hAnsiTheme="majorBidi" w:cstheme="majorBidi"/>
          <w:sz w:val="20"/>
          <w:szCs w:val="20"/>
          <w:lang w:val="en-IN"/>
        </w:rPr>
        <w:t xml:space="preserve">Peiffer-Smadja, N., Rawson, T. M., Ahmad, R., Holmes, A., Lescure, K. P., Lucet, J. C., et al. (2020). Machine learning for antimicrobial stewardship: A systematic review. </w:t>
      </w:r>
      <w:r w:rsidRPr="001C6BC5">
        <w:rPr>
          <w:rFonts w:asciiTheme="majorBidi" w:hAnsiTheme="majorBidi" w:cstheme="majorBidi"/>
          <w:i/>
          <w:iCs/>
          <w:sz w:val="20"/>
          <w:szCs w:val="20"/>
          <w:lang w:val="en-IN"/>
        </w:rPr>
        <w:t>Clinical Microbiology and Infection, 26</w:t>
      </w:r>
      <w:r w:rsidRPr="001C6BC5">
        <w:rPr>
          <w:rFonts w:asciiTheme="majorBidi" w:hAnsiTheme="majorBidi" w:cstheme="majorBidi"/>
          <w:sz w:val="20"/>
          <w:szCs w:val="20"/>
          <w:lang w:val="en-IN"/>
        </w:rPr>
        <w:t xml:space="preserve">(10), 1315–1322. </w:t>
      </w:r>
      <w:hyperlink r:id="rId31" w:tgtFrame="_new" w:history="1">
        <w:r w:rsidRPr="001C6BC5">
          <w:rPr>
            <w:rStyle w:val="Hyperlink"/>
            <w:rFonts w:asciiTheme="majorBidi" w:hAnsiTheme="majorBidi" w:cstheme="majorBidi"/>
            <w:color w:val="auto"/>
            <w:sz w:val="20"/>
            <w:szCs w:val="20"/>
            <w:u w:val="none"/>
            <w:lang w:val="en-IN"/>
          </w:rPr>
          <w:t>https://doi.org/10.1016/j.cmi.2020.03.020</w:t>
        </w:r>
      </w:hyperlink>
    </w:p>
    <w:p w14:paraId="0EE2CBFE"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1C6BC5">
        <w:rPr>
          <w:rFonts w:asciiTheme="majorBidi" w:hAnsiTheme="majorBidi" w:cstheme="majorBidi"/>
          <w:sz w:val="20"/>
          <w:szCs w:val="20"/>
          <w:lang w:val="en-IN"/>
        </w:rPr>
        <w:t xml:space="preserve">Price, W. N., II, &amp; Cohen, I. G. (2019). Privacy in the age of medical big data. </w:t>
      </w:r>
      <w:r w:rsidRPr="001C6BC5">
        <w:rPr>
          <w:rFonts w:asciiTheme="majorBidi" w:hAnsiTheme="majorBidi" w:cstheme="majorBidi"/>
          <w:i/>
          <w:iCs/>
          <w:sz w:val="20"/>
          <w:szCs w:val="20"/>
          <w:lang w:val="en-IN"/>
        </w:rPr>
        <w:t>Nature Medicine, 25</w:t>
      </w:r>
      <w:r w:rsidRPr="001C6BC5">
        <w:rPr>
          <w:rFonts w:asciiTheme="majorBidi" w:hAnsiTheme="majorBidi" w:cstheme="majorBidi"/>
          <w:sz w:val="20"/>
          <w:szCs w:val="20"/>
          <w:lang w:val="en-IN"/>
        </w:rPr>
        <w:t xml:space="preserve">(1), 37–43. </w:t>
      </w:r>
      <w:hyperlink r:id="rId32" w:tgtFrame="_new" w:history="1">
        <w:r w:rsidRPr="001C6BC5">
          <w:rPr>
            <w:rStyle w:val="Hyperlink"/>
            <w:rFonts w:asciiTheme="majorBidi" w:hAnsiTheme="majorBidi" w:cstheme="majorBidi"/>
            <w:color w:val="auto"/>
            <w:sz w:val="20"/>
            <w:szCs w:val="20"/>
            <w:u w:val="none"/>
            <w:lang w:val="en-IN"/>
          </w:rPr>
          <w:t>https://doi.org/10.1038/s41591-018-0272-7</w:t>
        </w:r>
      </w:hyperlink>
    </w:p>
    <w:p w14:paraId="2DB8817A"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proofErr w:type="spellStart"/>
      <w:r w:rsidRPr="001C6BC5">
        <w:rPr>
          <w:rFonts w:asciiTheme="majorBidi" w:hAnsiTheme="majorBidi" w:cstheme="majorBidi"/>
          <w:sz w:val="20"/>
          <w:szCs w:val="20"/>
          <w:lang w:val="en-IN"/>
        </w:rPr>
        <w:t>Rajkomar</w:t>
      </w:r>
      <w:proofErr w:type="spellEnd"/>
      <w:r w:rsidRPr="001C6BC5">
        <w:rPr>
          <w:rFonts w:asciiTheme="majorBidi" w:hAnsiTheme="majorBidi" w:cstheme="majorBidi"/>
          <w:sz w:val="20"/>
          <w:szCs w:val="20"/>
          <w:lang w:val="en-IN"/>
        </w:rPr>
        <w:t xml:space="preserve">, A., Oren, E., Chen, K., Dai, A. M., Hajaj, N., Hardt, M., et al. (2018). Scalable and accurate deep learning with electronic health records. </w:t>
      </w:r>
      <w:proofErr w:type="spellStart"/>
      <w:r w:rsidRPr="001C6BC5">
        <w:rPr>
          <w:rFonts w:asciiTheme="majorBidi" w:hAnsiTheme="majorBidi" w:cstheme="majorBidi"/>
          <w:i/>
          <w:iCs/>
          <w:sz w:val="20"/>
          <w:szCs w:val="20"/>
          <w:lang w:val="en-IN"/>
        </w:rPr>
        <w:t>npj</w:t>
      </w:r>
      <w:proofErr w:type="spellEnd"/>
      <w:r w:rsidRPr="001C6BC5">
        <w:rPr>
          <w:rFonts w:asciiTheme="majorBidi" w:hAnsiTheme="majorBidi" w:cstheme="majorBidi"/>
          <w:i/>
          <w:iCs/>
          <w:sz w:val="20"/>
          <w:szCs w:val="20"/>
          <w:lang w:val="en-IN"/>
        </w:rPr>
        <w:t xml:space="preserve"> Digital Medicine</w:t>
      </w:r>
      <w:r w:rsidRPr="001C6BC5">
        <w:rPr>
          <w:rFonts w:asciiTheme="majorBidi" w:hAnsiTheme="majorBidi" w:cstheme="majorBidi"/>
          <w:sz w:val="20"/>
          <w:szCs w:val="20"/>
          <w:lang w:val="en-IN"/>
        </w:rPr>
        <w:t xml:space="preserve">. </w:t>
      </w:r>
      <w:hyperlink r:id="rId33" w:tgtFrame="_new" w:history="1">
        <w:r w:rsidRPr="001C6BC5">
          <w:rPr>
            <w:rStyle w:val="Hyperlink"/>
            <w:rFonts w:asciiTheme="majorBidi" w:hAnsiTheme="majorBidi" w:cstheme="majorBidi"/>
            <w:color w:val="auto"/>
            <w:sz w:val="20"/>
            <w:szCs w:val="20"/>
            <w:u w:val="none"/>
            <w:lang w:val="en-IN"/>
          </w:rPr>
          <w:t>https://doi.org/10.1038/s41746-018-0029-1</w:t>
        </w:r>
      </w:hyperlink>
    </w:p>
    <w:p w14:paraId="1A4BF39F" w14:textId="77777777" w:rsidR="001C6BC5" w:rsidRPr="008F6CDA" w:rsidRDefault="001C6BC5" w:rsidP="00F219A5">
      <w:pPr>
        <w:spacing w:before="40" w:after="0" w:line="240" w:lineRule="auto"/>
        <w:ind w:left="540" w:hanging="540"/>
        <w:jc w:val="both"/>
        <w:rPr>
          <w:rFonts w:asciiTheme="majorBidi" w:hAnsiTheme="majorBidi" w:cstheme="majorBidi"/>
          <w:sz w:val="20"/>
          <w:szCs w:val="20"/>
          <w:lang w:val="pt-PT"/>
        </w:rPr>
      </w:pPr>
      <w:r w:rsidRPr="001C6BC5">
        <w:rPr>
          <w:rFonts w:asciiTheme="majorBidi" w:hAnsiTheme="majorBidi" w:cstheme="majorBidi"/>
          <w:sz w:val="20"/>
          <w:szCs w:val="20"/>
          <w:lang w:val="en-IN"/>
        </w:rPr>
        <w:t xml:space="preserve">Rawson, T. M., Charani, E., Wilson, R., Moore, L. S. P., Castro, M. A., Gilchrist, D. W., et al. (2021). Machine learning for antimicrobial resistance prediction: A systematic review of the recent literature. </w:t>
      </w:r>
      <w:r w:rsidRPr="008F6CDA">
        <w:rPr>
          <w:rFonts w:asciiTheme="majorBidi" w:hAnsiTheme="majorBidi" w:cstheme="majorBidi"/>
          <w:i/>
          <w:iCs/>
          <w:sz w:val="20"/>
          <w:szCs w:val="20"/>
          <w:lang w:val="pt-PT"/>
        </w:rPr>
        <w:t>Clinical Infectious Diseases, 73</w:t>
      </w:r>
      <w:r w:rsidRPr="008F6CDA">
        <w:rPr>
          <w:rFonts w:asciiTheme="majorBidi" w:hAnsiTheme="majorBidi" w:cstheme="majorBidi"/>
          <w:sz w:val="20"/>
          <w:szCs w:val="20"/>
          <w:lang w:val="pt-PT"/>
        </w:rPr>
        <w:t xml:space="preserve">(3), e849–e856. </w:t>
      </w:r>
      <w:hyperlink r:id="rId34" w:tgtFrame="_new" w:history="1">
        <w:r w:rsidRPr="008F6CDA">
          <w:rPr>
            <w:rStyle w:val="Hyperlink"/>
            <w:rFonts w:asciiTheme="majorBidi" w:hAnsiTheme="majorBidi" w:cstheme="majorBidi"/>
            <w:color w:val="auto"/>
            <w:sz w:val="20"/>
            <w:szCs w:val="20"/>
            <w:u w:val="none"/>
            <w:lang w:val="pt-PT"/>
          </w:rPr>
          <w:t>https://doi.org/10.1093/cid/ciaa1573</w:t>
        </w:r>
      </w:hyperlink>
    </w:p>
    <w:p w14:paraId="6ECDED7B"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8F6CDA">
        <w:rPr>
          <w:rFonts w:asciiTheme="majorBidi" w:hAnsiTheme="majorBidi" w:cstheme="majorBidi"/>
          <w:sz w:val="20"/>
          <w:szCs w:val="20"/>
          <w:lang w:val="pt-PT"/>
        </w:rPr>
        <w:t xml:space="preserve">Reddy, K. S., Patel, V., Jha, P., Paul, V. K., Kumar, A. K. S., &amp; Dandona, L. (2011). </w:t>
      </w:r>
      <w:r w:rsidRPr="001C6BC5">
        <w:rPr>
          <w:rFonts w:asciiTheme="majorBidi" w:hAnsiTheme="majorBidi" w:cstheme="majorBidi"/>
          <w:sz w:val="20"/>
          <w:szCs w:val="20"/>
          <w:lang w:val="en-IN"/>
        </w:rPr>
        <w:t xml:space="preserve">Towards achievement of universal health care in India by 2020: A call to action. </w:t>
      </w:r>
      <w:r w:rsidRPr="001C6BC5">
        <w:rPr>
          <w:rFonts w:asciiTheme="majorBidi" w:hAnsiTheme="majorBidi" w:cstheme="majorBidi"/>
          <w:i/>
          <w:iCs/>
          <w:sz w:val="20"/>
          <w:szCs w:val="20"/>
          <w:lang w:val="en-IN"/>
        </w:rPr>
        <w:t>The Lancet, 377</w:t>
      </w:r>
      <w:r w:rsidRPr="001C6BC5">
        <w:rPr>
          <w:rFonts w:asciiTheme="majorBidi" w:hAnsiTheme="majorBidi" w:cstheme="majorBidi"/>
          <w:sz w:val="20"/>
          <w:szCs w:val="20"/>
          <w:lang w:val="en-IN"/>
        </w:rPr>
        <w:t xml:space="preserve">(9767), 760–768. </w:t>
      </w:r>
      <w:hyperlink r:id="rId35" w:tgtFrame="_new" w:history="1">
        <w:r w:rsidRPr="001C6BC5">
          <w:rPr>
            <w:rStyle w:val="Hyperlink"/>
            <w:rFonts w:asciiTheme="majorBidi" w:hAnsiTheme="majorBidi" w:cstheme="majorBidi"/>
            <w:color w:val="auto"/>
            <w:sz w:val="20"/>
            <w:szCs w:val="20"/>
            <w:u w:val="none"/>
            <w:lang w:val="en-IN"/>
          </w:rPr>
          <w:t>https://doi.org/10.1016/S0140-6736(10)61960-5</w:t>
        </w:r>
      </w:hyperlink>
    </w:p>
    <w:p w14:paraId="6D1C75E7"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1C6BC5">
        <w:rPr>
          <w:rFonts w:asciiTheme="majorBidi" w:hAnsiTheme="majorBidi" w:cstheme="majorBidi"/>
          <w:sz w:val="20"/>
          <w:szCs w:val="20"/>
          <w:lang w:val="en-IN"/>
        </w:rPr>
        <w:t xml:space="preserve">Ribeiro, M. T., Singh, S., &amp; </w:t>
      </w:r>
      <w:proofErr w:type="spellStart"/>
      <w:r w:rsidRPr="001C6BC5">
        <w:rPr>
          <w:rFonts w:asciiTheme="majorBidi" w:hAnsiTheme="majorBidi" w:cstheme="majorBidi"/>
          <w:sz w:val="20"/>
          <w:szCs w:val="20"/>
          <w:lang w:val="en-IN"/>
        </w:rPr>
        <w:t>Guestrin</w:t>
      </w:r>
      <w:proofErr w:type="spellEnd"/>
      <w:r w:rsidRPr="001C6BC5">
        <w:rPr>
          <w:rFonts w:asciiTheme="majorBidi" w:hAnsiTheme="majorBidi" w:cstheme="majorBidi"/>
          <w:sz w:val="20"/>
          <w:szCs w:val="20"/>
          <w:lang w:val="en-IN"/>
        </w:rPr>
        <w:t xml:space="preserve">, C. (2016). “Why should I trust you?”: Explaining the predictions of any classifier. </w:t>
      </w:r>
      <w:r w:rsidRPr="001C6BC5">
        <w:rPr>
          <w:rFonts w:asciiTheme="majorBidi" w:hAnsiTheme="majorBidi" w:cstheme="majorBidi"/>
          <w:i/>
          <w:iCs/>
          <w:sz w:val="20"/>
          <w:szCs w:val="20"/>
          <w:lang w:val="en-IN"/>
        </w:rPr>
        <w:t>Proceedings of the 22nd ACM SIGKDD International Conference on Knowledge Discovery and Data Mining</w:t>
      </w:r>
      <w:r w:rsidRPr="001C6BC5">
        <w:rPr>
          <w:rFonts w:asciiTheme="majorBidi" w:hAnsiTheme="majorBidi" w:cstheme="majorBidi"/>
          <w:sz w:val="20"/>
          <w:szCs w:val="20"/>
          <w:lang w:val="en-IN"/>
        </w:rPr>
        <w:t xml:space="preserve">. </w:t>
      </w:r>
      <w:hyperlink r:id="rId36" w:tgtFrame="_new" w:history="1">
        <w:r w:rsidRPr="001C6BC5">
          <w:rPr>
            <w:rStyle w:val="Hyperlink"/>
            <w:rFonts w:asciiTheme="majorBidi" w:hAnsiTheme="majorBidi" w:cstheme="majorBidi"/>
            <w:color w:val="auto"/>
            <w:sz w:val="20"/>
            <w:szCs w:val="20"/>
            <w:u w:val="none"/>
            <w:lang w:val="en-IN"/>
          </w:rPr>
          <w:t>https://doi.org/10.1145/2939672.2939778</w:t>
        </w:r>
      </w:hyperlink>
    </w:p>
    <w:p w14:paraId="77E4003F"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1C6BC5">
        <w:rPr>
          <w:rFonts w:asciiTheme="majorBidi" w:hAnsiTheme="majorBidi" w:cstheme="majorBidi"/>
          <w:sz w:val="20"/>
          <w:szCs w:val="20"/>
          <w:lang w:val="en-IN"/>
        </w:rPr>
        <w:t xml:space="preserve">Sendak, M. P., Ratliff, W., Sarro, D., Alderton, E., </w:t>
      </w:r>
      <w:proofErr w:type="spellStart"/>
      <w:r w:rsidRPr="001C6BC5">
        <w:rPr>
          <w:rFonts w:asciiTheme="majorBidi" w:hAnsiTheme="majorBidi" w:cstheme="majorBidi"/>
          <w:sz w:val="20"/>
          <w:szCs w:val="20"/>
          <w:lang w:val="en-IN"/>
        </w:rPr>
        <w:t>Futoma</w:t>
      </w:r>
      <w:proofErr w:type="spellEnd"/>
      <w:r w:rsidRPr="001C6BC5">
        <w:rPr>
          <w:rFonts w:asciiTheme="majorBidi" w:hAnsiTheme="majorBidi" w:cstheme="majorBidi"/>
          <w:sz w:val="20"/>
          <w:szCs w:val="20"/>
          <w:lang w:val="en-IN"/>
        </w:rPr>
        <w:t xml:space="preserve">, J., Gao, M., et al. (2020). Real-world integration of a sepsis deep learning technology into routine clinical care. </w:t>
      </w:r>
      <w:r w:rsidRPr="001C6BC5">
        <w:rPr>
          <w:rFonts w:asciiTheme="majorBidi" w:hAnsiTheme="majorBidi" w:cstheme="majorBidi"/>
          <w:i/>
          <w:iCs/>
          <w:sz w:val="20"/>
          <w:szCs w:val="20"/>
          <w:lang w:val="en-IN"/>
        </w:rPr>
        <w:t>JMIR Medical Informatics</w:t>
      </w:r>
      <w:r w:rsidRPr="001C6BC5">
        <w:rPr>
          <w:rFonts w:asciiTheme="majorBidi" w:hAnsiTheme="majorBidi" w:cstheme="majorBidi"/>
          <w:sz w:val="20"/>
          <w:szCs w:val="20"/>
          <w:lang w:val="en-IN"/>
        </w:rPr>
        <w:t xml:space="preserve">. </w:t>
      </w:r>
      <w:hyperlink r:id="rId37" w:tgtFrame="_new" w:history="1">
        <w:r w:rsidRPr="001C6BC5">
          <w:rPr>
            <w:rStyle w:val="Hyperlink"/>
            <w:rFonts w:asciiTheme="majorBidi" w:hAnsiTheme="majorBidi" w:cstheme="majorBidi"/>
            <w:color w:val="auto"/>
            <w:sz w:val="20"/>
            <w:szCs w:val="20"/>
            <w:u w:val="none"/>
            <w:lang w:val="en-IN"/>
          </w:rPr>
          <w:t>https://doi.org/10.2196/15182</w:t>
        </w:r>
      </w:hyperlink>
    </w:p>
    <w:p w14:paraId="00EA6F4C"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proofErr w:type="spellStart"/>
      <w:r w:rsidRPr="001C6BC5">
        <w:rPr>
          <w:rFonts w:asciiTheme="majorBidi" w:hAnsiTheme="majorBidi" w:cstheme="majorBidi"/>
          <w:sz w:val="20"/>
          <w:szCs w:val="20"/>
          <w:lang w:val="en-IN"/>
        </w:rPr>
        <w:t>Shortliffe</w:t>
      </w:r>
      <w:proofErr w:type="spellEnd"/>
      <w:r w:rsidRPr="001C6BC5">
        <w:rPr>
          <w:rFonts w:asciiTheme="majorBidi" w:hAnsiTheme="majorBidi" w:cstheme="majorBidi"/>
          <w:sz w:val="20"/>
          <w:szCs w:val="20"/>
          <w:lang w:val="en-IN"/>
        </w:rPr>
        <w:t xml:space="preserve">, E. H., &amp; Sepúlveda, M. J. (2018). Clinical decision support in the era of artificial intelligence. </w:t>
      </w:r>
      <w:r w:rsidRPr="001C6BC5">
        <w:rPr>
          <w:rFonts w:asciiTheme="majorBidi" w:hAnsiTheme="majorBidi" w:cstheme="majorBidi"/>
          <w:i/>
          <w:iCs/>
          <w:sz w:val="20"/>
          <w:szCs w:val="20"/>
          <w:lang w:val="en-IN"/>
        </w:rPr>
        <w:t>JAMA, 320</w:t>
      </w:r>
      <w:r w:rsidRPr="001C6BC5">
        <w:rPr>
          <w:rFonts w:asciiTheme="majorBidi" w:hAnsiTheme="majorBidi" w:cstheme="majorBidi"/>
          <w:sz w:val="20"/>
          <w:szCs w:val="20"/>
          <w:lang w:val="en-IN"/>
        </w:rPr>
        <w:t xml:space="preserve">(21), 2199–2200. </w:t>
      </w:r>
      <w:hyperlink r:id="rId38" w:tgtFrame="_new" w:history="1">
        <w:r w:rsidRPr="001C6BC5">
          <w:rPr>
            <w:rStyle w:val="Hyperlink"/>
            <w:rFonts w:asciiTheme="majorBidi" w:hAnsiTheme="majorBidi" w:cstheme="majorBidi"/>
            <w:color w:val="auto"/>
            <w:sz w:val="20"/>
            <w:szCs w:val="20"/>
            <w:u w:val="none"/>
            <w:lang w:val="en-IN"/>
          </w:rPr>
          <w:t>https://doi.org/10.1001/jama.2018.17163</w:t>
        </w:r>
      </w:hyperlink>
    </w:p>
    <w:p w14:paraId="3CBC5435"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1C6BC5">
        <w:rPr>
          <w:rFonts w:asciiTheme="majorBidi" w:hAnsiTheme="majorBidi" w:cstheme="majorBidi"/>
          <w:sz w:val="20"/>
          <w:szCs w:val="20"/>
          <w:lang w:val="en-IN"/>
        </w:rPr>
        <w:t xml:space="preserve">Sutton, R. T., Pincock, D., Baumgart, D. C., Sadowski, D. C., Fedorak, R. N., &amp; Kroeker, K. I. (2020). An overview of clinical decision support systems: Benefits, risks, and strategies for success. </w:t>
      </w:r>
      <w:proofErr w:type="spellStart"/>
      <w:r w:rsidRPr="001C6BC5">
        <w:rPr>
          <w:rFonts w:asciiTheme="majorBidi" w:hAnsiTheme="majorBidi" w:cstheme="majorBidi"/>
          <w:i/>
          <w:iCs/>
          <w:sz w:val="20"/>
          <w:szCs w:val="20"/>
          <w:lang w:val="en-IN"/>
        </w:rPr>
        <w:t>npj</w:t>
      </w:r>
      <w:proofErr w:type="spellEnd"/>
      <w:r w:rsidRPr="001C6BC5">
        <w:rPr>
          <w:rFonts w:asciiTheme="majorBidi" w:hAnsiTheme="majorBidi" w:cstheme="majorBidi"/>
          <w:i/>
          <w:iCs/>
          <w:sz w:val="20"/>
          <w:szCs w:val="20"/>
          <w:lang w:val="en-IN"/>
        </w:rPr>
        <w:t xml:space="preserve"> Digital Medicine, 3</w:t>
      </w:r>
      <w:r w:rsidRPr="001C6BC5">
        <w:rPr>
          <w:rFonts w:asciiTheme="majorBidi" w:hAnsiTheme="majorBidi" w:cstheme="majorBidi"/>
          <w:sz w:val="20"/>
          <w:szCs w:val="20"/>
          <w:lang w:val="en-IN"/>
        </w:rPr>
        <w:t xml:space="preserve">, 17. </w:t>
      </w:r>
      <w:hyperlink r:id="rId39" w:tgtFrame="_new" w:history="1">
        <w:r w:rsidRPr="001C6BC5">
          <w:rPr>
            <w:rStyle w:val="Hyperlink"/>
            <w:rFonts w:asciiTheme="majorBidi" w:hAnsiTheme="majorBidi" w:cstheme="majorBidi"/>
            <w:color w:val="auto"/>
            <w:sz w:val="20"/>
            <w:szCs w:val="20"/>
            <w:u w:val="none"/>
            <w:lang w:val="en-IN"/>
          </w:rPr>
          <w:t>https://doi.org/10.1038/s41746-020-0221-y</w:t>
        </w:r>
      </w:hyperlink>
    </w:p>
    <w:p w14:paraId="1FF7456E" w14:textId="77777777" w:rsidR="001C6BC5" w:rsidRPr="008F6CDA" w:rsidRDefault="001C6BC5" w:rsidP="00F219A5">
      <w:pPr>
        <w:spacing w:before="40" w:after="0" w:line="240" w:lineRule="auto"/>
        <w:ind w:left="540" w:hanging="540"/>
        <w:jc w:val="both"/>
        <w:rPr>
          <w:rFonts w:asciiTheme="majorBidi" w:hAnsiTheme="majorBidi" w:cstheme="majorBidi"/>
          <w:sz w:val="20"/>
          <w:szCs w:val="20"/>
          <w:lang w:val="pt-PT"/>
        </w:rPr>
      </w:pPr>
      <w:r w:rsidRPr="001C6BC5">
        <w:rPr>
          <w:rFonts w:asciiTheme="majorBidi" w:hAnsiTheme="majorBidi" w:cstheme="majorBidi"/>
          <w:sz w:val="20"/>
          <w:szCs w:val="20"/>
          <w:lang w:val="en-IN"/>
        </w:rPr>
        <w:t xml:space="preserve">Tacconelli, E., de Kraker, M. E. A., </w:t>
      </w:r>
      <w:proofErr w:type="spellStart"/>
      <w:r w:rsidRPr="001C6BC5">
        <w:rPr>
          <w:rFonts w:asciiTheme="majorBidi" w:hAnsiTheme="majorBidi" w:cstheme="majorBidi"/>
          <w:sz w:val="20"/>
          <w:szCs w:val="20"/>
          <w:lang w:val="en-IN"/>
        </w:rPr>
        <w:t>Bonten</w:t>
      </w:r>
      <w:proofErr w:type="spellEnd"/>
      <w:r w:rsidRPr="001C6BC5">
        <w:rPr>
          <w:rFonts w:asciiTheme="majorBidi" w:hAnsiTheme="majorBidi" w:cstheme="majorBidi"/>
          <w:sz w:val="20"/>
          <w:szCs w:val="20"/>
          <w:lang w:val="en-IN"/>
        </w:rPr>
        <w:t xml:space="preserve">, M. J. M., Malhotra-Kumar, S., Simonsen, G. S., Moore, C., et al. (2018). Surveillance for control of antimicrobial resistance. </w:t>
      </w:r>
      <w:r w:rsidRPr="001C6BC5">
        <w:rPr>
          <w:rFonts w:asciiTheme="majorBidi" w:hAnsiTheme="majorBidi" w:cstheme="majorBidi"/>
          <w:i/>
          <w:iCs/>
          <w:sz w:val="20"/>
          <w:szCs w:val="20"/>
          <w:lang w:val="en-IN"/>
        </w:rPr>
        <w:t>Clinical Microbiology and Infection, 24</w:t>
      </w:r>
      <w:r w:rsidRPr="001C6BC5">
        <w:rPr>
          <w:rFonts w:asciiTheme="majorBidi" w:hAnsiTheme="majorBidi" w:cstheme="majorBidi"/>
          <w:sz w:val="20"/>
          <w:szCs w:val="20"/>
          <w:lang w:val="en-IN"/>
        </w:rPr>
        <w:t xml:space="preserve">(1), 4–5. </w:t>
      </w:r>
      <w:hyperlink r:id="rId40" w:tgtFrame="_new" w:history="1">
        <w:r w:rsidRPr="008F6CDA">
          <w:rPr>
            <w:rStyle w:val="Hyperlink"/>
            <w:rFonts w:asciiTheme="majorBidi" w:hAnsiTheme="majorBidi" w:cstheme="majorBidi"/>
            <w:color w:val="auto"/>
            <w:sz w:val="20"/>
            <w:szCs w:val="20"/>
            <w:u w:val="none"/>
            <w:lang w:val="pt-PT"/>
          </w:rPr>
          <w:t>https://doi.org/10.1016/j.cmi.2017.09.011</w:t>
        </w:r>
      </w:hyperlink>
    </w:p>
    <w:p w14:paraId="6C2F5989"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8F6CDA">
        <w:rPr>
          <w:rFonts w:asciiTheme="majorBidi" w:hAnsiTheme="majorBidi" w:cstheme="majorBidi"/>
          <w:sz w:val="20"/>
          <w:szCs w:val="20"/>
          <w:lang w:val="pt-PT"/>
        </w:rPr>
        <w:t xml:space="preserve">Tison, G. H., &amp; Marcus, G. M. (2019). </w:t>
      </w:r>
      <w:r w:rsidRPr="001C6BC5">
        <w:rPr>
          <w:rFonts w:asciiTheme="majorBidi" w:hAnsiTheme="majorBidi" w:cstheme="majorBidi"/>
          <w:sz w:val="20"/>
          <w:szCs w:val="20"/>
          <w:lang w:val="en-IN"/>
        </w:rPr>
        <w:t xml:space="preserve">Will the smartphone become a useful tool to promote physical activity? </w:t>
      </w:r>
      <w:r w:rsidRPr="001C6BC5">
        <w:rPr>
          <w:rFonts w:asciiTheme="majorBidi" w:hAnsiTheme="majorBidi" w:cstheme="majorBidi"/>
          <w:i/>
          <w:iCs/>
          <w:sz w:val="20"/>
          <w:szCs w:val="20"/>
          <w:lang w:val="en-IN"/>
        </w:rPr>
        <w:t>The Lancet Digital Health, 1</w:t>
      </w:r>
      <w:r w:rsidRPr="001C6BC5">
        <w:rPr>
          <w:rFonts w:asciiTheme="majorBidi" w:hAnsiTheme="majorBidi" w:cstheme="majorBidi"/>
          <w:sz w:val="20"/>
          <w:szCs w:val="20"/>
          <w:lang w:val="en-IN"/>
        </w:rPr>
        <w:t xml:space="preserve">(7), e322–e323. </w:t>
      </w:r>
      <w:hyperlink r:id="rId41" w:tgtFrame="_new" w:history="1">
        <w:r w:rsidRPr="001C6BC5">
          <w:rPr>
            <w:rStyle w:val="Hyperlink"/>
            <w:rFonts w:asciiTheme="majorBidi" w:hAnsiTheme="majorBidi" w:cstheme="majorBidi"/>
            <w:color w:val="auto"/>
            <w:sz w:val="20"/>
            <w:szCs w:val="20"/>
            <w:u w:val="none"/>
            <w:lang w:val="en-IN"/>
          </w:rPr>
          <w:t>https://doi.org/10.1016/S2589-7500(19)30154-2</w:t>
        </w:r>
      </w:hyperlink>
    </w:p>
    <w:p w14:paraId="6F8ACF08"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1C6BC5">
        <w:rPr>
          <w:rFonts w:asciiTheme="majorBidi" w:hAnsiTheme="majorBidi" w:cstheme="majorBidi"/>
          <w:sz w:val="20"/>
          <w:szCs w:val="20"/>
          <w:lang w:val="en-IN"/>
        </w:rPr>
        <w:t xml:space="preserve">Topol, E. J. (2019). High-performance medicine: The convergence of human and artificial intelligence. </w:t>
      </w:r>
      <w:r w:rsidRPr="001C6BC5">
        <w:rPr>
          <w:rFonts w:asciiTheme="majorBidi" w:hAnsiTheme="majorBidi" w:cstheme="majorBidi"/>
          <w:i/>
          <w:iCs/>
          <w:sz w:val="20"/>
          <w:szCs w:val="20"/>
          <w:lang w:val="en-IN"/>
        </w:rPr>
        <w:t>Nature Medicine, 25</w:t>
      </w:r>
      <w:r w:rsidRPr="001C6BC5">
        <w:rPr>
          <w:rFonts w:asciiTheme="majorBidi" w:hAnsiTheme="majorBidi" w:cstheme="majorBidi"/>
          <w:sz w:val="20"/>
          <w:szCs w:val="20"/>
          <w:lang w:val="en-IN"/>
        </w:rPr>
        <w:t xml:space="preserve">(1), 44–56. </w:t>
      </w:r>
      <w:hyperlink r:id="rId42" w:tgtFrame="_new" w:history="1">
        <w:r w:rsidRPr="001C6BC5">
          <w:rPr>
            <w:rStyle w:val="Hyperlink"/>
            <w:rFonts w:asciiTheme="majorBidi" w:hAnsiTheme="majorBidi" w:cstheme="majorBidi"/>
            <w:color w:val="auto"/>
            <w:sz w:val="20"/>
            <w:szCs w:val="20"/>
            <w:u w:val="none"/>
            <w:lang w:val="en-IN"/>
          </w:rPr>
          <w:t>https://doi.org/10.1038/s41591-018-0300-7</w:t>
        </w:r>
      </w:hyperlink>
    </w:p>
    <w:p w14:paraId="3B356642"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1C6BC5">
        <w:rPr>
          <w:rFonts w:asciiTheme="majorBidi" w:hAnsiTheme="majorBidi" w:cstheme="majorBidi"/>
          <w:sz w:val="20"/>
          <w:szCs w:val="20"/>
          <w:lang w:val="en-IN"/>
        </w:rPr>
        <w:t xml:space="preserve">van </w:t>
      </w:r>
      <w:proofErr w:type="spellStart"/>
      <w:r w:rsidRPr="001C6BC5">
        <w:rPr>
          <w:rFonts w:asciiTheme="majorBidi" w:hAnsiTheme="majorBidi" w:cstheme="majorBidi"/>
          <w:sz w:val="20"/>
          <w:szCs w:val="20"/>
          <w:lang w:val="en-IN"/>
        </w:rPr>
        <w:t>Belkum</w:t>
      </w:r>
      <w:proofErr w:type="spellEnd"/>
      <w:r w:rsidRPr="001C6BC5">
        <w:rPr>
          <w:rFonts w:asciiTheme="majorBidi" w:hAnsiTheme="majorBidi" w:cstheme="majorBidi"/>
          <w:sz w:val="20"/>
          <w:szCs w:val="20"/>
          <w:lang w:val="en-IN"/>
        </w:rPr>
        <w:t xml:space="preserve">, A., Durand, G., Peyret, M., Chatellier, S., </w:t>
      </w:r>
      <w:proofErr w:type="spellStart"/>
      <w:r w:rsidRPr="001C6BC5">
        <w:rPr>
          <w:rFonts w:asciiTheme="majorBidi" w:hAnsiTheme="majorBidi" w:cstheme="majorBidi"/>
          <w:sz w:val="20"/>
          <w:szCs w:val="20"/>
          <w:lang w:val="en-IN"/>
        </w:rPr>
        <w:t>Zambardi</w:t>
      </w:r>
      <w:proofErr w:type="spellEnd"/>
      <w:r w:rsidRPr="001C6BC5">
        <w:rPr>
          <w:rFonts w:asciiTheme="majorBidi" w:hAnsiTheme="majorBidi" w:cstheme="majorBidi"/>
          <w:sz w:val="20"/>
          <w:szCs w:val="20"/>
          <w:lang w:val="en-IN"/>
        </w:rPr>
        <w:t xml:space="preserve">, G., Schrenzel, J., et al. (2013). Rapid clinical bacteriology and its future impact. </w:t>
      </w:r>
      <w:r w:rsidRPr="001C6BC5">
        <w:rPr>
          <w:rFonts w:asciiTheme="majorBidi" w:hAnsiTheme="majorBidi" w:cstheme="majorBidi"/>
          <w:i/>
          <w:iCs/>
          <w:sz w:val="20"/>
          <w:szCs w:val="20"/>
          <w:lang w:val="en-IN"/>
        </w:rPr>
        <w:t>Annals of Laboratory Medicine, 33</w:t>
      </w:r>
      <w:r w:rsidRPr="001C6BC5">
        <w:rPr>
          <w:rFonts w:asciiTheme="majorBidi" w:hAnsiTheme="majorBidi" w:cstheme="majorBidi"/>
          <w:sz w:val="20"/>
          <w:szCs w:val="20"/>
          <w:lang w:val="en-IN"/>
        </w:rPr>
        <w:t xml:space="preserve">(1), 14–27. </w:t>
      </w:r>
      <w:hyperlink r:id="rId43" w:tgtFrame="_new" w:history="1">
        <w:r w:rsidRPr="001C6BC5">
          <w:rPr>
            <w:rStyle w:val="Hyperlink"/>
            <w:rFonts w:asciiTheme="majorBidi" w:hAnsiTheme="majorBidi" w:cstheme="majorBidi"/>
            <w:color w:val="auto"/>
            <w:sz w:val="20"/>
            <w:szCs w:val="20"/>
            <w:u w:val="none"/>
            <w:lang w:val="en-IN"/>
          </w:rPr>
          <w:t>https://doi.org/10.3343/alm.2013.33.1.14</w:t>
        </w:r>
      </w:hyperlink>
    </w:p>
    <w:p w14:paraId="0AA0D1AA"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1C6BC5">
        <w:rPr>
          <w:rFonts w:asciiTheme="majorBidi" w:hAnsiTheme="majorBidi" w:cstheme="majorBidi"/>
          <w:sz w:val="20"/>
          <w:szCs w:val="20"/>
          <w:lang w:val="en-IN"/>
        </w:rPr>
        <w:t xml:space="preserve">Ventola, C. L. (2015). The antibiotic resistance crisis: Part 1: Causes and threats. </w:t>
      </w:r>
      <w:r w:rsidRPr="001C6BC5">
        <w:rPr>
          <w:rFonts w:asciiTheme="majorBidi" w:hAnsiTheme="majorBidi" w:cstheme="majorBidi"/>
          <w:i/>
          <w:iCs/>
          <w:sz w:val="20"/>
          <w:szCs w:val="20"/>
          <w:lang w:val="en-IN"/>
        </w:rPr>
        <w:t>P&amp;T, 40</w:t>
      </w:r>
      <w:r w:rsidRPr="001C6BC5">
        <w:rPr>
          <w:rFonts w:asciiTheme="majorBidi" w:hAnsiTheme="majorBidi" w:cstheme="majorBidi"/>
          <w:sz w:val="20"/>
          <w:szCs w:val="20"/>
          <w:lang w:val="en-IN"/>
        </w:rPr>
        <w:t xml:space="preserve">(4), 277–283. </w:t>
      </w:r>
      <w:hyperlink r:id="rId44" w:tgtFrame="_new" w:history="1">
        <w:r w:rsidRPr="001C6BC5">
          <w:rPr>
            <w:rStyle w:val="Hyperlink"/>
            <w:rFonts w:asciiTheme="majorBidi" w:hAnsiTheme="majorBidi" w:cstheme="majorBidi"/>
            <w:color w:val="auto"/>
            <w:sz w:val="20"/>
            <w:szCs w:val="20"/>
            <w:u w:val="none"/>
            <w:lang w:val="en-IN"/>
          </w:rPr>
          <w:t>https://www.ncbi.nlm.nih.gov/pmc/articles/PMC4378521/</w:t>
        </w:r>
      </w:hyperlink>
    </w:p>
    <w:p w14:paraId="56981882"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1C6BC5">
        <w:rPr>
          <w:rFonts w:asciiTheme="majorBidi" w:hAnsiTheme="majorBidi" w:cstheme="majorBidi"/>
          <w:sz w:val="20"/>
          <w:szCs w:val="20"/>
          <w:lang w:val="en-IN"/>
        </w:rPr>
        <w:lastRenderedPageBreak/>
        <w:t xml:space="preserve">Wiens, J., &amp; Shenoy, E. S. (2018). Machine learning for healthcare: On the verge of a major shift in healthcare epidemiology. </w:t>
      </w:r>
      <w:r w:rsidRPr="001C6BC5">
        <w:rPr>
          <w:rFonts w:asciiTheme="majorBidi" w:hAnsiTheme="majorBidi" w:cstheme="majorBidi"/>
          <w:i/>
          <w:iCs/>
          <w:sz w:val="20"/>
          <w:szCs w:val="20"/>
          <w:lang w:val="en-IN"/>
        </w:rPr>
        <w:t>Clinical Infectious Diseases, 66</w:t>
      </w:r>
      <w:r w:rsidRPr="001C6BC5">
        <w:rPr>
          <w:rFonts w:asciiTheme="majorBidi" w:hAnsiTheme="majorBidi" w:cstheme="majorBidi"/>
          <w:sz w:val="20"/>
          <w:szCs w:val="20"/>
          <w:lang w:val="en-IN"/>
        </w:rPr>
        <w:t xml:space="preserve">(1), 149–153. </w:t>
      </w:r>
      <w:hyperlink r:id="rId45" w:tgtFrame="_new" w:history="1">
        <w:r w:rsidRPr="001C6BC5">
          <w:rPr>
            <w:rStyle w:val="Hyperlink"/>
            <w:rFonts w:asciiTheme="majorBidi" w:hAnsiTheme="majorBidi" w:cstheme="majorBidi"/>
            <w:color w:val="auto"/>
            <w:sz w:val="20"/>
            <w:szCs w:val="20"/>
            <w:u w:val="none"/>
            <w:lang w:val="en-IN"/>
          </w:rPr>
          <w:t>https://doi.org/10.1093/cid/cix671</w:t>
        </w:r>
      </w:hyperlink>
    </w:p>
    <w:p w14:paraId="23F12472" w14:textId="77777777" w:rsidR="001C6BC5" w:rsidRPr="008F6CDA" w:rsidRDefault="001C6BC5" w:rsidP="00F219A5">
      <w:pPr>
        <w:spacing w:before="40" w:after="0" w:line="240" w:lineRule="auto"/>
        <w:ind w:left="540" w:hanging="540"/>
        <w:jc w:val="both"/>
        <w:rPr>
          <w:rFonts w:asciiTheme="majorBidi" w:hAnsiTheme="majorBidi" w:cstheme="majorBidi"/>
          <w:sz w:val="20"/>
          <w:szCs w:val="20"/>
          <w:lang w:val="pt-PT"/>
        </w:rPr>
      </w:pPr>
      <w:r w:rsidRPr="001C6BC5">
        <w:rPr>
          <w:rFonts w:asciiTheme="majorBidi" w:hAnsiTheme="majorBidi" w:cstheme="majorBidi"/>
          <w:sz w:val="20"/>
          <w:szCs w:val="20"/>
          <w:lang w:val="en-IN"/>
        </w:rPr>
        <w:t xml:space="preserve">Wiens, J., et al. (2019). Do no harm: A roadmap for responsible machine learning in healthcare. </w:t>
      </w:r>
      <w:r w:rsidRPr="008F6CDA">
        <w:rPr>
          <w:rFonts w:asciiTheme="majorBidi" w:hAnsiTheme="majorBidi" w:cstheme="majorBidi"/>
          <w:i/>
          <w:iCs/>
          <w:sz w:val="20"/>
          <w:szCs w:val="20"/>
          <w:lang w:val="pt-PT"/>
        </w:rPr>
        <w:t>Nature Medicine</w:t>
      </w:r>
      <w:r w:rsidRPr="008F6CDA">
        <w:rPr>
          <w:rFonts w:asciiTheme="majorBidi" w:hAnsiTheme="majorBidi" w:cstheme="majorBidi"/>
          <w:sz w:val="20"/>
          <w:szCs w:val="20"/>
          <w:lang w:val="pt-PT"/>
        </w:rPr>
        <w:t xml:space="preserve">. </w:t>
      </w:r>
      <w:hyperlink r:id="rId46" w:tgtFrame="_new" w:history="1">
        <w:r w:rsidRPr="008F6CDA">
          <w:rPr>
            <w:rStyle w:val="Hyperlink"/>
            <w:rFonts w:asciiTheme="majorBidi" w:hAnsiTheme="majorBidi" w:cstheme="majorBidi"/>
            <w:color w:val="auto"/>
            <w:sz w:val="20"/>
            <w:szCs w:val="20"/>
            <w:u w:val="none"/>
            <w:lang w:val="pt-PT"/>
          </w:rPr>
          <w:t>https://doi.org/10.1038/s41591-019-0548-6</w:t>
        </w:r>
      </w:hyperlink>
    </w:p>
    <w:p w14:paraId="750FEE7F" w14:textId="77777777" w:rsidR="001C6BC5" w:rsidRPr="001C6BC5" w:rsidRDefault="001C6BC5" w:rsidP="00F219A5">
      <w:pPr>
        <w:spacing w:before="40" w:after="0" w:line="240" w:lineRule="auto"/>
        <w:ind w:left="540" w:hanging="540"/>
        <w:jc w:val="both"/>
        <w:rPr>
          <w:rFonts w:asciiTheme="majorBidi" w:hAnsiTheme="majorBidi" w:cstheme="majorBidi"/>
          <w:sz w:val="20"/>
          <w:szCs w:val="20"/>
          <w:lang w:val="en-IN"/>
        </w:rPr>
      </w:pPr>
      <w:r w:rsidRPr="008F6CDA">
        <w:rPr>
          <w:rFonts w:asciiTheme="majorBidi" w:hAnsiTheme="majorBidi" w:cstheme="majorBidi"/>
          <w:sz w:val="20"/>
          <w:szCs w:val="20"/>
          <w:lang w:val="pt-PT"/>
        </w:rPr>
        <w:t xml:space="preserve">Yelin, I., Snitser, O., Novich, G., Katz, R., Tal, O., Parizade, M., et al. </w:t>
      </w:r>
      <w:r w:rsidRPr="001C6BC5">
        <w:rPr>
          <w:rFonts w:asciiTheme="majorBidi" w:hAnsiTheme="majorBidi" w:cstheme="majorBidi"/>
          <w:sz w:val="20"/>
          <w:szCs w:val="20"/>
          <w:lang w:val="en-IN"/>
        </w:rPr>
        <w:t xml:space="preserve">(2019). Personal clinical history predicts antibiotic resistance of urinary tract infections. </w:t>
      </w:r>
      <w:r w:rsidRPr="001C6BC5">
        <w:rPr>
          <w:rFonts w:asciiTheme="majorBidi" w:hAnsiTheme="majorBidi" w:cstheme="majorBidi"/>
          <w:i/>
          <w:iCs/>
          <w:sz w:val="20"/>
          <w:szCs w:val="20"/>
          <w:lang w:val="en-IN"/>
        </w:rPr>
        <w:t>Nature Medicine, 25</w:t>
      </w:r>
      <w:r w:rsidRPr="001C6BC5">
        <w:rPr>
          <w:rFonts w:asciiTheme="majorBidi" w:hAnsiTheme="majorBidi" w:cstheme="majorBidi"/>
          <w:sz w:val="20"/>
          <w:szCs w:val="20"/>
          <w:lang w:val="en-IN"/>
        </w:rPr>
        <w:t xml:space="preserve">(7), 1143–1152. </w:t>
      </w:r>
      <w:hyperlink r:id="rId47" w:tgtFrame="_new" w:history="1">
        <w:r w:rsidRPr="001C6BC5">
          <w:rPr>
            <w:rStyle w:val="Hyperlink"/>
            <w:rFonts w:asciiTheme="majorBidi" w:hAnsiTheme="majorBidi" w:cstheme="majorBidi"/>
            <w:color w:val="auto"/>
            <w:sz w:val="20"/>
            <w:szCs w:val="20"/>
            <w:u w:val="none"/>
            <w:lang w:val="en-IN"/>
          </w:rPr>
          <w:t>https://doi.org/10.1038/s41591-019-0503-6</w:t>
        </w:r>
      </w:hyperlink>
    </w:p>
    <w:p w14:paraId="227C95D6" w14:textId="77777777" w:rsidR="00456778" w:rsidRPr="001C6BC5" w:rsidRDefault="00456778" w:rsidP="00F219A5">
      <w:pPr>
        <w:pStyle w:val="ReferHead"/>
        <w:keepNext w:val="0"/>
        <w:spacing w:after="0"/>
        <w:jc w:val="both"/>
        <w:rPr>
          <w:rFonts w:asciiTheme="majorBidi" w:hAnsiTheme="majorBidi" w:cstheme="majorBidi"/>
          <w:bCs/>
          <w:sz w:val="20"/>
        </w:rPr>
      </w:pPr>
    </w:p>
    <w:p w14:paraId="2130308C" w14:textId="0717AD30" w:rsidR="00D851AD" w:rsidRPr="001C6BC5" w:rsidRDefault="00FA6531" w:rsidP="00F219A5">
      <w:pPr>
        <w:spacing w:after="0" w:line="240" w:lineRule="auto"/>
        <w:jc w:val="both"/>
        <w:rPr>
          <w:rFonts w:asciiTheme="majorBidi" w:eastAsia="Times New Roman" w:hAnsiTheme="majorBidi" w:cstheme="majorBidi"/>
          <w:b/>
          <w:sz w:val="15"/>
          <w:szCs w:val="15"/>
        </w:rPr>
      </w:pPr>
      <w:r w:rsidRPr="001C6BC5">
        <w:rPr>
          <w:rFonts w:asciiTheme="majorBidi" w:eastAsia="Calibri" w:hAnsiTheme="majorBidi" w:cstheme="majorBidi"/>
          <w:b/>
          <w:bCs/>
          <w:kern w:val="2"/>
          <w:sz w:val="15"/>
          <w:szCs w:val="15"/>
          <w:lang w:val="en-GB"/>
        </w:rPr>
        <w:t xml:space="preserve">Disclaimer/Publisher’s Note: </w:t>
      </w:r>
      <w:r w:rsidRPr="001C6BC5">
        <w:rPr>
          <w:rFonts w:asciiTheme="majorBidi" w:eastAsia="Calibri" w:hAnsiTheme="majorBidi" w:cstheme="majorBidi"/>
          <w:kern w:val="2"/>
          <w:sz w:val="15"/>
          <w:szCs w:val="15"/>
          <w:lang w:val="en-GB"/>
        </w:rPr>
        <w:t>The statements, opinions and data contained in all publications are solely those of the individual author(s) and contributor(s) and not of the publisher and/or the editor(s). This publisher and/or the editor(s) disclaim responsibility for any injury to people or property resulting from any ideas, methods, instructions or products referred to in the content.</w:t>
      </w:r>
    </w:p>
    <w:p w14:paraId="50C334E3" w14:textId="77777777" w:rsidR="00D851AD" w:rsidRPr="001C6BC5" w:rsidRDefault="00D851AD" w:rsidP="00F219A5">
      <w:pPr>
        <w:spacing w:after="0" w:line="240" w:lineRule="auto"/>
        <w:jc w:val="both"/>
        <w:rPr>
          <w:rFonts w:asciiTheme="majorBidi" w:eastAsia="Times New Roman" w:hAnsiTheme="majorBidi" w:cstheme="majorBidi"/>
          <w:b/>
          <w:szCs w:val="20"/>
        </w:rPr>
        <w:sectPr w:rsidR="00D851AD" w:rsidRPr="001C6BC5" w:rsidSect="00491E06">
          <w:headerReference w:type="even" r:id="rId48"/>
          <w:headerReference w:type="default" r:id="rId49"/>
          <w:footerReference w:type="even" r:id="rId50"/>
          <w:footerReference w:type="default" r:id="rId51"/>
          <w:headerReference w:type="first" r:id="rId52"/>
          <w:footerReference w:type="first" r:id="rId53"/>
          <w:pgSz w:w="11909" w:h="16834" w:code="9"/>
          <w:pgMar w:top="1440" w:right="1440" w:bottom="1440" w:left="1440" w:header="720" w:footer="864" w:gutter="0"/>
          <w:pgNumType w:start="72"/>
          <w:cols w:space="720"/>
          <w:titlePg/>
          <w:docGrid w:linePitch="360"/>
        </w:sectPr>
      </w:pPr>
    </w:p>
    <w:p w14:paraId="6BD0D3FC" w14:textId="77777777" w:rsidR="00BD060A" w:rsidRPr="001C6BC5" w:rsidRDefault="00BD060A" w:rsidP="00F219A5">
      <w:pPr>
        <w:spacing w:after="0" w:line="240" w:lineRule="auto"/>
        <w:ind w:left="540" w:hanging="540"/>
        <w:jc w:val="center"/>
        <w:rPr>
          <w:rFonts w:asciiTheme="majorBidi" w:eastAsia="Times New Roman" w:hAnsiTheme="majorBidi" w:cstheme="majorBidi"/>
          <w:i/>
          <w:sz w:val="16"/>
          <w:szCs w:val="20"/>
        </w:rPr>
      </w:pPr>
    </w:p>
    <w:p w14:paraId="45615D7D" w14:textId="0F40FFF2" w:rsidR="00CD3A89" w:rsidRDefault="00330218" w:rsidP="00F219A5">
      <w:pPr>
        <w:pBdr>
          <w:top w:val="single" w:sz="4" w:space="1" w:color="auto"/>
        </w:pBdr>
        <w:spacing w:after="0" w:line="240" w:lineRule="auto"/>
        <w:jc w:val="both"/>
        <w:rPr>
          <w:rFonts w:asciiTheme="majorBidi" w:eastAsia="Times New Roman" w:hAnsiTheme="majorBidi" w:cstheme="majorBidi"/>
          <w:i/>
          <w:sz w:val="16"/>
          <w:szCs w:val="20"/>
        </w:rPr>
      </w:pPr>
      <w:r w:rsidRPr="001C6BC5">
        <w:rPr>
          <w:rFonts w:asciiTheme="majorBidi" w:eastAsia="Times New Roman" w:hAnsiTheme="majorBidi" w:cstheme="majorBidi"/>
          <w:i/>
          <w:sz w:val="16"/>
          <w:szCs w:val="20"/>
        </w:rPr>
        <w:t>© Copyright (202</w:t>
      </w:r>
      <w:r w:rsidR="004818FC" w:rsidRPr="001C6BC5">
        <w:rPr>
          <w:rFonts w:asciiTheme="majorBidi" w:eastAsia="Times New Roman" w:hAnsiTheme="majorBidi" w:cstheme="majorBidi"/>
          <w:i/>
          <w:sz w:val="16"/>
          <w:szCs w:val="20"/>
        </w:rPr>
        <w:t>6</w:t>
      </w:r>
      <w:r w:rsidRPr="001C6BC5">
        <w:rPr>
          <w:rFonts w:asciiTheme="majorBidi" w:eastAsia="Times New Roman" w:hAnsiTheme="majorBidi" w:cstheme="majorBidi"/>
          <w:i/>
          <w:sz w:val="16"/>
          <w:szCs w:val="20"/>
        </w:rPr>
        <w:t>): Author(s). The licensee is the journal publisher. This is an Open Access article distributed under the terms of the Creative Commons Attribution License (</w:t>
      </w:r>
      <w:r w:rsidRPr="001C6BC5">
        <w:rPr>
          <w:rFonts w:asciiTheme="majorBidi" w:eastAsia="Times New Roman" w:hAnsiTheme="majorBidi" w:cstheme="majorBidi"/>
          <w:i/>
          <w:color w:val="0000FF"/>
          <w:sz w:val="16"/>
          <w:szCs w:val="20"/>
        </w:rPr>
        <w:t>http://creativecommons.org/licenses/by/4.0</w:t>
      </w:r>
      <w:r w:rsidRPr="001C6BC5">
        <w:rPr>
          <w:rFonts w:asciiTheme="majorBidi" w:eastAsia="Times New Roman" w:hAnsiTheme="majorBidi" w:cstheme="majorBidi"/>
          <w:i/>
          <w:sz w:val="16"/>
          <w:szCs w:val="20"/>
        </w:rPr>
        <w:t>), which permits unrestricted use, distribution, and reproduction in any medium, provided the original work is properly cited.</w:t>
      </w:r>
    </w:p>
    <w:p w14:paraId="4BA79299" w14:textId="76AFCD72" w:rsidR="00C44FD6" w:rsidRPr="00C44FD6" w:rsidRDefault="00C44FD6" w:rsidP="00F219A5">
      <w:pPr>
        <w:pBdr>
          <w:top w:val="single" w:sz="4" w:space="1" w:color="auto"/>
        </w:pBdr>
        <w:spacing w:after="0" w:line="240" w:lineRule="auto"/>
        <w:jc w:val="both"/>
        <w:rPr>
          <w:rFonts w:asciiTheme="majorBidi" w:hAnsiTheme="majorBidi" w:cstheme="majorBidi"/>
          <w:sz w:val="20"/>
        </w:rPr>
      </w:pPr>
    </w:p>
    <w:p w14:paraId="516994C2" w14:textId="5A7CCA8A" w:rsidR="00C44FD6" w:rsidRPr="00C44FD6" w:rsidRDefault="00C44FD6" w:rsidP="00F219A5">
      <w:pPr>
        <w:pBdr>
          <w:top w:val="single" w:sz="4" w:space="1" w:color="auto"/>
        </w:pBdr>
        <w:spacing w:after="0" w:line="240" w:lineRule="auto"/>
        <w:jc w:val="both"/>
        <w:rPr>
          <w:rFonts w:asciiTheme="majorBidi" w:hAnsiTheme="majorBidi" w:cstheme="majorBidi"/>
          <w:sz w:val="20"/>
        </w:rPr>
      </w:pPr>
    </w:p>
    <w:p w14:paraId="0072F7D6" w14:textId="2BEF533E" w:rsidR="00C44FD6" w:rsidRPr="00C44FD6" w:rsidRDefault="00897A62" w:rsidP="00F219A5">
      <w:pPr>
        <w:pBdr>
          <w:top w:val="single" w:sz="4" w:space="1" w:color="auto"/>
        </w:pBdr>
        <w:spacing w:after="0" w:line="240" w:lineRule="auto"/>
        <w:jc w:val="both"/>
        <w:rPr>
          <w:rFonts w:asciiTheme="majorBidi" w:hAnsiTheme="majorBidi" w:cstheme="majorBidi"/>
          <w:sz w:val="20"/>
        </w:rPr>
      </w:pPr>
      <w:r>
        <w:rPr>
          <w:rFonts w:asciiTheme="majorBidi" w:hAnsiTheme="majorBidi" w:cstheme="majorBidi"/>
          <w:sz w:val="20"/>
        </w:rPr>
      </w:r>
      <w:r>
        <w:rPr>
          <w:rFonts w:asciiTheme="majorBidi" w:hAnsiTheme="majorBidi" w:cstheme="majorBidi"/>
          <w:sz w:val="20"/>
        </w:rPr>
        <w:pict w14:anchorId="15909CAC">
          <v:rect id="_x0000_s2078" style="width:450.35pt;height:45pt;mso-left-percent:-10001;mso-top-percent:-10001;mso-position-horizontal:absolute;mso-position-horizontal-relative:char;mso-position-vertical:absolute;mso-position-vertical-relative:line;mso-left-percent:-10001;mso-top-percent:-10001" strokeweight="1pt">
            <v:textbox>
              <w:txbxContent>
                <w:p w14:paraId="00EF5983" w14:textId="77777777" w:rsidR="00C44FD6" w:rsidRPr="00C44FD6" w:rsidRDefault="00C44FD6" w:rsidP="00C44FD6">
                  <w:pPr>
                    <w:pStyle w:val="FrameContents"/>
                    <w:spacing w:after="0" w:line="240" w:lineRule="auto"/>
                    <w:jc w:val="center"/>
                    <w:rPr>
                      <w:rFonts w:ascii="Times New Roman" w:hAnsi="Times New Roman" w:cs="Times New Roman"/>
                      <w:i/>
                      <w:sz w:val="20"/>
                    </w:rPr>
                  </w:pPr>
                  <w:r w:rsidRPr="00C44FD6">
                    <w:rPr>
                      <w:rFonts w:ascii="Times New Roman" w:hAnsi="Times New Roman" w:cs="Times New Roman"/>
                      <w:i/>
                      <w:sz w:val="20"/>
                    </w:rPr>
                    <w:t>Peer-review history:</w:t>
                  </w:r>
                </w:p>
                <w:p w14:paraId="7949A1E5" w14:textId="77777777" w:rsidR="00C44FD6" w:rsidRPr="00C44FD6" w:rsidRDefault="00C44FD6" w:rsidP="00C44FD6">
                  <w:pPr>
                    <w:pStyle w:val="FrameContents"/>
                    <w:spacing w:after="0" w:line="240" w:lineRule="auto"/>
                    <w:jc w:val="center"/>
                    <w:rPr>
                      <w:rFonts w:ascii="Times New Roman" w:hAnsi="Times New Roman" w:cs="Times New Roman"/>
                      <w:i/>
                      <w:sz w:val="20"/>
                    </w:rPr>
                  </w:pPr>
                  <w:r w:rsidRPr="00C44FD6">
                    <w:rPr>
                      <w:rFonts w:ascii="Times New Roman" w:hAnsi="Times New Roman" w:cs="Times New Roman"/>
                      <w:i/>
                      <w:sz w:val="20"/>
                    </w:rPr>
                    <w:t>The peer review history for this paper can be accessed here:</w:t>
                  </w:r>
                </w:p>
                <w:p w14:paraId="45700A7C" w14:textId="77777777" w:rsidR="00491E06" w:rsidRPr="00491E06" w:rsidRDefault="00491E06" w:rsidP="00491E06">
                  <w:pPr>
                    <w:pStyle w:val="FrameContents"/>
                    <w:jc w:val="center"/>
                    <w:rPr>
                      <w:rFonts w:ascii="Times New Roman" w:hAnsi="Times New Roman" w:cs="Times New Roman"/>
                      <w:i/>
                      <w:sz w:val="20"/>
                    </w:rPr>
                  </w:pPr>
                  <w:hyperlink r:id="rId54" w:history="1">
                    <w:r w:rsidRPr="00491E06">
                      <w:rPr>
                        <w:rStyle w:val="Hyperlink"/>
                        <w:rFonts w:ascii="Times New Roman" w:hAnsi="Times New Roman" w:cs="Times New Roman"/>
                        <w:i/>
                        <w:sz w:val="20"/>
                        <w:u w:val="none"/>
                      </w:rPr>
                      <w:t>https://prh.mbimph.com/review-history/5995</w:t>
                    </w:r>
                  </w:hyperlink>
                  <w:r w:rsidRPr="00491E06">
                    <w:rPr>
                      <w:rFonts w:ascii="Times New Roman" w:hAnsi="Times New Roman" w:cs="Times New Roman"/>
                      <w:i/>
                      <w:sz w:val="20"/>
                    </w:rPr>
                    <w:t xml:space="preserve"> </w:t>
                  </w:r>
                </w:p>
                <w:p w14:paraId="18D4CDF3" w14:textId="5FD80687" w:rsidR="00C44FD6" w:rsidRPr="00C44FD6" w:rsidRDefault="00491E06" w:rsidP="00C44FD6">
                  <w:pPr>
                    <w:pStyle w:val="FrameContents"/>
                    <w:spacing w:after="0" w:line="240" w:lineRule="auto"/>
                    <w:jc w:val="center"/>
                    <w:rPr>
                      <w:rFonts w:ascii="Times New Roman" w:hAnsi="Times New Roman" w:cs="Times New Roman"/>
                      <w:i/>
                      <w:sz w:val="20"/>
                    </w:rPr>
                  </w:pPr>
                  <w:r>
                    <w:rPr>
                      <w:rFonts w:ascii="Times New Roman" w:hAnsi="Times New Roman" w:cs="Times New Roman"/>
                      <w:i/>
                      <w:sz w:val="20"/>
                    </w:rPr>
                    <w:t xml:space="preserve"> </w:t>
                  </w:r>
                </w:p>
              </w:txbxContent>
            </v:textbox>
            <w10:anchorlock/>
          </v:rect>
        </w:pict>
      </w:r>
    </w:p>
    <w:sectPr w:rsidR="00C44FD6" w:rsidRPr="00C44FD6" w:rsidSect="00526262">
      <w:type w:val="continuous"/>
      <w:pgSz w:w="11909" w:h="16834" w:code="9"/>
      <w:pgMar w:top="1440" w:right="1440" w:bottom="1440" w:left="1440" w:header="720" w:footer="11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E61E4" w14:textId="77777777" w:rsidR="00897A62" w:rsidRDefault="00897A62" w:rsidP="00CD3A89">
      <w:pPr>
        <w:spacing w:after="0" w:line="240" w:lineRule="auto"/>
      </w:pPr>
      <w:r>
        <w:separator/>
      </w:r>
    </w:p>
  </w:endnote>
  <w:endnote w:type="continuationSeparator" w:id="0">
    <w:p w14:paraId="2DC30FD4" w14:textId="77777777" w:rsidR="00897A62" w:rsidRDefault="00897A62" w:rsidP="00CD3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7A919" w14:textId="77777777" w:rsidR="00CA6BF1" w:rsidRDefault="00CA6B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8593113"/>
      <w:docPartObj>
        <w:docPartGallery w:val="Page Numbers (Bottom of Page)"/>
        <w:docPartUnique/>
      </w:docPartObj>
    </w:sdtPr>
    <w:sdtEndPr/>
    <w:sdtContent>
      <w:p w14:paraId="7DC9838A" w14:textId="77777777" w:rsidR="00F6450F" w:rsidRPr="005140D8" w:rsidRDefault="00F6450F">
        <w:pPr>
          <w:pStyle w:val="Footer"/>
          <w:jc w:val="center"/>
          <w:rPr>
            <w:rFonts w:ascii="Times New Roman" w:hAnsi="Times New Roman" w:cs="Times New Roman"/>
            <w:sz w:val="28"/>
          </w:rPr>
        </w:pPr>
      </w:p>
      <w:p w14:paraId="36C84B55" w14:textId="77777777" w:rsidR="00263AE4" w:rsidRPr="005140D8" w:rsidRDefault="00C4408D">
        <w:pPr>
          <w:pStyle w:val="Footer"/>
          <w:jc w:val="center"/>
          <w:rPr>
            <w:rFonts w:ascii="Times New Roman" w:hAnsi="Times New Roman" w:cs="Times New Roman"/>
            <w:sz w:val="20"/>
          </w:rPr>
        </w:pPr>
        <w:r w:rsidRPr="005140D8">
          <w:rPr>
            <w:rFonts w:ascii="Times New Roman" w:hAnsi="Times New Roman" w:cs="Times New Roman"/>
            <w:sz w:val="20"/>
          </w:rPr>
          <w:fldChar w:fldCharType="begin"/>
        </w:r>
        <w:r w:rsidR="00A22248" w:rsidRPr="005140D8">
          <w:rPr>
            <w:rFonts w:ascii="Times New Roman" w:hAnsi="Times New Roman" w:cs="Times New Roman"/>
            <w:sz w:val="20"/>
          </w:rPr>
          <w:instrText xml:space="preserve"> PAGE   \* MERGEFORMAT </w:instrText>
        </w:r>
        <w:r w:rsidRPr="005140D8">
          <w:rPr>
            <w:rFonts w:ascii="Times New Roman" w:hAnsi="Times New Roman" w:cs="Times New Roman"/>
            <w:sz w:val="20"/>
          </w:rPr>
          <w:fldChar w:fldCharType="separate"/>
        </w:r>
        <w:r w:rsidR="00CE0F39" w:rsidRPr="005140D8">
          <w:rPr>
            <w:rFonts w:ascii="Times New Roman" w:hAnsi="Times New Roman" w:cs="Times New Roman"/>
            <w:noProof/>
            <w:sz w:val="20"/>
          </w:rPr>
          <w:t>2</w:t>
        </w:r>
        <w:r w:rsidRPr="005140D8">
          <w:rPr>
            <w:rFonts w:ascii="Times New Roman" w:hAnsi="Times New Roman" w:cs="Times New Roman"/>
            <w:sz w:val="20"/>
          </w:rPr>
          <w:fldChar w:fldCharType="end"/>
        </w:r>
      </w:p>
      <w:p w14:paraId="3CFEBBA5" w14:textId="77777777" w:rsidR="00485F13" w:rsidRPr="005140D8" w:rsidRDefault="00897A62">
        <w:pPr>
          <w:pStyle w:val="Footer"/>
          <w:jc w:val="center"/>
          <w:rPr>
            <w:rFonts w:ascii="Times New Roman" w:hAnsi="Times New Roman" w:cs="Times New Roman"/>
            <w:sz w:val="18"/>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34065" w14:textId="77777777" w:rsidR="00E72385" w:rsidRPr="005140D8" w:rsidRDefault="00E72385" w:rsidP="00E72385">
    <w:pPr>
      <w:tabs>
        <w:tab w:val="center" w:pos="4320"/>
        <w:tab w:val="right" w:pos="8640"/>
      </w:tabs>
      <w:spacing w:after="0" w:line="240" w:lineRule="auto"/>
      <w:rPr>
        <w:rFonts w:ascii="Times New Roman" w:eastAsia="Times New Roman" w:hAnsi="Times New Roman" w:cs="Times New Roman"/>
        <w:sz w:val="16"/>
        <w:szCs w:val="20"/>
      </w:rPr>
    </w:pPr>
    <w:r w:rsidRPr="005140D8">
      <w:rPr>
        <w:rFonts w:ascii="Times New Roman" w:eastAsia="Times New Roman" w:hAnsi="Times New Roman" w:cs="Times New Roman"/>
        <w:sz w:val="16"/>
        <w:szCs w:val="20"/>
      </w:rPr>
      <w:t>____________________________________________</w:t>
    </w:r>
    <w:r w:rsidRPr="005140D8">
      <w:rPr>
        <w:rFonts w:ascii="Times New Roman" w:eastAsia="Times New Roman" w:hAnsi="Times New Roman" w:cs="Times New Roman"/>
        <w:sz w:val="16"/>
        <w:szCs w:val="20"/>
      </w:rPr>
      <w:softHyphen/>
    </w:r>
    <w:r w:rsidRPr="005140D8">
      <w:rPr>
        <w:rFonts w:ascii="Times New Roman" w:eastAsia="Times New Roman" w:hAnsi="Times New Roman" w:cs="Times New Roman"/>
        <w:sz w:val="16"/>
        <w:szCs w:val="20"/>
      </w:rPr>
      <w:softHyphen/>
    </w:r>
    <w:r w:rsidRPr="005140D8">
      <w:rPr>
        <w:rFonts w:ascii="Times New Roman" w:eastAsia="Times New Roman" w:hAnsi="Times New Roman" w:cs="Times New Roman"/>
        <w:sz w:val="16"/>
        <w:szCs w:val="20"/>
      </w:rPr>
      <w:softHyphen/>
    </w:r>
    <w:r w:rsidRPr="005140D8">
      <w:rPr>
        <w:rFonts w:ascii="Times New Roman" w:eastAsia="Times New Roman" w:hAnsi="Times New Roman" w:cs="Times New Roman"/>
        <w:sz w:val="16"/>
        <w:szCs w:val="20"/>
      </w:rPr>
      <w:softHyphen/>
    </w:r>
    <w:r w:rsidRPr="005140D8">
      <w:rPr>
        <w:rFonts w:ascii="Times New Roman" w:eastAsia="Times New Roman" w:hAnsi="Times New Roman" w:cs="Times New Roman"/>
        <w:sz w:val="16"/>
        <w:szCs w:val="20"/>
      </w:rPr>
      <w:softHyphen/>
      <w:t>_________________________________________________________</w:t>
    </w:r>
  </w:p>
  <w:p w14:paraId="690A21A1" w14:textId="77777777" w:rsidR="00E72385" w:rsidRPr="005140D8" w:rsidRDefault="00E72385" w:rsidP="00E72385">
    <w:pPr>
      <w:spacing w:after="0" w:line="240" w:lineRule="auto"/>
      <w:jc w:val="both"/>
      <w:rPr>
        <w:rFonts w:ascii="Times New Roman" w:eastAsia="Times New Roman" w:hAnsi="Times New Roman" w:cs="Times New Roman"/>
        <w:i/>
        <w:sz w:val="16"/>
        <w:szCs w:val="20"/>
      </w:rPr>
    </w:pPr>
  </w:p>
  <w:p w14:paraId="44B90D82" w14:textId="58075EE9" w:rsidR="00E72385" w:rsidRPr="005140D8" w:rsidRDefault="00E72385" w:rsidP="00E72385">
    <w:pPr>
      <w:spacing w:after="0" w:line="240" w:lineRule="auto"/>
      <w:jc w:val="both"/>
      <w:rPr>
        <w:rFonts w:ascii="Times New Roman" w:eastAsia="Times New Roman" w:hAnsi="Times New Roman" w:cs="Times New Roman"/>
        <w:i/>
        <w:sz w:val="16"/>
        <w:szCs w:val="20"/>
      </w:rPr>
    </w:pPr>
    <w:r w:rsidRPr="005140D8">
      <w:rPr>
        <w:rFonts w:ascii="Times New Roman" w:eastAsia="Times New Roman" w:hAnsi="Times New Roman" w:cs="Times New Roman"/>
        <w:i/>
        <w:sz w:val="16"/>
        <w:szCs w:val="20"/>
      </w:rPr>
      <w:t xml:space="preserve">*Corresponding author: Email: </w:t>
    </w:r>
    <w:r w:rsidR="00A25153" w:rsidRPr="00A25153">
      <w:rPr>
        <w:rFonts w:ascii="Times New Roman" w:eastAsia="Times New Roman" w:hAnsi="Times New Roman" w:cs="Times New Roman"/>
        <w:i/>
        <w:sz w:val="16"/>
        <w:szCs w:val="20"/>
      </w:rPr>
      <w:t>dr.srimanthks@gmail.com</w:t>
    </w:r>
    <w:r w:rsidRPr="005140D8">
      <w:rPr>
        <w:rFonts w:ascii="Times New Roman" w:eastAsia="Times New Roman" w:hAnsi="Times New Roman" w:cs="Times New Roman"/>
        <w:i/>
        <w:sz w:val="16"/>
        <w:szCs w:val="20"/>
      </w:rPr>
      <w:t>;</w:t>
    </w:r>
  </w:p>
  <w:p w14:paraId="0A4813EA" w14:textId="77777777" w:rsidR="00DE494D" w:rsidRPr="005140D8" w:rsidRDefault="00DE494D" w:rsidP="00E72385">
    <w:pPr>
      <w:spacing w:after="0" w:line="240" w:lineRule="auto"/>
      <w:jc w:val="both"/>
      <w:rPr>
        <w:rFonts w:ascii="Times New Roman" w:eastAsia="Times New Roman" w:hAnsi="Times New Roman" w:cs="Times New Roman"/>
        <w:i/>
        <w:sz w:val="16"/>
        <w:szCs w:val="20"/>
      </w:rPr>
    </w:pPr>
  </w:p>
  <w:p w14:paraId="6BE22A22" w14:textId="5C94ACAB" w:rsidR="00011047" w:rsidRPr="008F6CDA" w:rsidRDefault="00011047" w:rsidP="008F6CDA">
    <w:pPr>
      <w:pStyle w:val="Footer"/>
      <w:rPr>
        <w:rFonts w:ascii="Times New Roman" w:hAnsi="Times New Roman" w:cs="Times New Roman"/>
        <w:b/>
        <w:bCs/>
        <w:i/>
        <w:sz w:val="16"/>
      </w:rPr>
    </w:pPr>
    <w:r w:rsidRPr="005140D8">
      <w:rPr>
        <w:rFonts w:ascii="Times New Roman" w:hAnsi="Times New Roman" w:cs="Times New Roman"/>
        <w:b/>
        <w:bCs/>
        <w:i/>
        <w:sz w:val="16"/>
      </w:rPr>
      <w:t>Cite as:</w:t>
    </w:r>
    <w:r w:rsidR="008F6CDA">
      <w:rPr>
        <w:rFonts w:ascii="Times New Roman" w:hAnsi="Times New Roman" w:cs="Times New Roman"/>
        <w:b/>
        <w:bCs/>
        <w:i/>
        <w:sz w:val="16"/>
      </w:rPr>
      <w:t xml:space="preserve"> </w:t>
    </w:r>
    <w:r w:rsidR="008F6CDA" w:rsidRPr="008F6CDA">
      <w:rPr>
        <w:rFonts w:ascii="Times New Roman" w:hAnsi="Times New Roman" w:cs="Times New Roman"/>
        <w:i/>
        <w:sz w:val="16"/>
      </w:rPr>
      <w:t>Srimanth, K. S., &amp; Dhakal, A. (2026). Artificial Intelligence in Antimicrobial Stewardship: Predictive Models and the Future of Combating Antimicrobial Resistance. Asian Journal of Advances in Medical Science, 8(1), 72–85. https://doi.org/10.56557/ajoaims/2026/v8i1177</w:t>
    </w:r>
  </w:p>
  <w:p w14:paraId="3E4D7987" w14:textId="77777777" w:rsidR="00FA6531" w:rsidRPr="005140D8" w:rsidRDefault="00FA6531" w:rsidP="00011047">
    <w:pPr>
      <w:pStyle w:val="Footer"/>
      <w:jc w:val="both"/>
      <w:rPr>
        <w:rFonts w:ascii="Times New Roman" w:hAnsi="Times New Roman" w:cs="Times New Roman"/>
        <w:i/>
        <w:sz w:val="16"/>
      </w:rPr>
    </w:pPr>
  </w:p>
  <w:p w14:paraId="07ED68B2" w14:textId="77777777" w:rsidR="00CD3A89" w:rsidRPr="005140D8" w:rsidRDefault="00CD3A89">
    <w:pPr>
      <w:pStyle w:val="Footer"/>
      <w:rPr>
        <w:rFonts w:ascii="Times New Roman" w:hAnsi="Times New Roman" w:cs="Times New Roman"/>
        <w:sz w:val="20"/>
      </w:rPr>
    </w:pPr>
  </w:p>
  <w:p w14:paraId="39D639C0" w14:textId="77777777" w:rsidR="00490A64" w:rsidRPr="005140D8" w:rsidRDefault="00490A64">
    <w:pPr>
      <w:pStyle w:val="Footer"/>
      <w:rPr>
        <w:rFonts w:ascii="Times New Roman" w:hAnsi="Times New Roman" w:cs="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CD2F2" w14:textId="77777777" w:rsidR="00897A62" w:rsidRDefault="00897A62" w:rsidP="00CD3A89">
      <w:pPr>
        <w:spacing w:after="0" w:line="240" w:lineRule="auto"/>
      </w:pPr>
      <w:r>
        <w:separator/>
      </w:r>
    </w:p>
  </w:footnote>
  <w:footnote w:type="continuationSeparator" w:id="0">
    <w:p w14:paraId="5B6799C8" w14:textId="77777777" w:rsidR="00897A62" w:rsidRDefault="00897A62" w:rsidP="00CD3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06C42" w14:textId="77777777" w:rsidR="00CA6BF1" w:rsidRDefault="00CA6B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12635" w14:textId="344ED556" w:rsidR="00171FBC" w:rsidRPr="005140D8" w:rsidRDefault="00171FBC" w:rsidP="00171FBC">
    <w:pPr>
      <w:tabs>
        <w:tab w:val="center" w:pos="4320"/>
        <w:tab w:val="right" w:pos="8640"/>
      </w:tabs>
      <w:spacing w:after="0" w:line="240" w:lineRule="auto"/>
      <w:jc w:val="right"/>
      <w:rPr>
        <w:rFonts w:ascii="Times New Roman" w:eastAsia="Times New Roman" w:hAnsi="Times New Roman" w:cs="Times New Roman"/>
        <w:i/>
        <w:sz w:val="16"/>
        <w:szCs w:val="20"/>
        <w:highlight w:val="yellow"/>
      </w:rPr>
    </w:pPr>
  </w:p>
  <w:p w14:paraId="6BD388C2" w14:textId="77777777" w:rsidR="00171FBC" w:rsidRPr="005140D8" w:rsidRDefault="00171FBC" w:rsidP="00171FBC">
    <w:pPr>
      <w:tabs>
        <w:tab w:val="center" w:pos="4320"/>
        <w:tab w:val="right" w:pos="8640"/>
      </w:tabs>
      <w:spacing w:after="0" w:line="240" w:lineRule="auto"/>
      <w:jc w:val="right"/>
      <w:rPr>
        <w:rFonts w:ascii="Times New Roman" w:eastAsia="Times New Roman" w:hAnsi="Times New Roman" w:cs="Times New Roman"/>
        <w:i/>
        <w:sz w:val="16"/>
        <w:szCs w:val="20"/>
        <w:highlight w:val="yellow"/>
      </w:rPr>
    </w:pPr>
  </w:p>
  <w:p w14:paraId="2D325B96" w14:textId="77777777" w:rsidR="00171FBC" w:rsidRPr="005140D8" w:rsidRDefault="00171FBC" w:rsidP="00171FBC">
    <w:pPr>
      <w:tabs>
        <w:tab w:val="center" w:pos="4320"/>
        <w:tab w:val="right" w:pos="8640"/>
      </w:tabs>
      <w:spacing w:after="0" w:line="240" w:lineRule="auto"/>
      <w:jc w:val="right"/>
      <w:rPr>
        <w:rFonts w:ascii="Times New Roman" w:eastAsia="Times New Roman" w:hAnsi="Times New Roman" w:cs="Times New Roman"/>
        <w:i/>
        <w:sz w:val="16"/>
        <w:szCs w:val="20"/>
        <w:highlight w:val="yellow"/>
      </w:rPr>
    </w:pPr>
  </w:p>
  <w:p w14:paraId="7FF04C8D" w14:textId="77777777" w:rsidR="00171FBC" w:rsidRPr="005140D8" w:rsidRDefault="00171FBC" w:rsidP="00171FBC">
    <w:pPr>
      <w:tabs>
        <w:tab w:val="center" w:pos="4320"/>
        <w:tab w:val="right" w:pos="8640"/>
      </w:tabs>
      <w:spacing w:after="0" w:line="240" w:lineRule="auto"/>
      <w:jc w:val="right"/>
      <w:rPr>
        <w:rFonts w:ascii="Times New Roman" w:eastAsia="Times New Roman" w:hAnsi="Times New Roman" w:cs="Times New Roman"/>
        <w:i/>
        <w:sz w:val="16"/>
        <w:szCs w:val="20"/>
        <w:highlight w:val="yellow"/>
      </w:rPr>
    </w:pPr>
  </w:p>
  <w:p w14:paraId="40B5ACDE" w14:textId="56BF014E" w:rsidR="00171FBC" w:rsidRPr="005140D8" w:rsidRDefault="00A25153" w:rsidP="00171FBC">
    <w:pPr>
      <w:tabs>
        <w:tab w:val="center" w:pos="4320"/>
        <w:tab w:val="right" w:pos="8640"/>
      </w:tabs>
      <w:spacing w:after="0" w:line="240" w:lineRule="auto"/>
      <w:jc w:val="right"/>
      <w:rPr>
        <w:rFonts w:ascii="Times New Roman" w:eastAsia="Times New Roman" w:hAnsi="Times New Roman" w:cs="Times New Roman"/>
        <w:i/>
        <w:sz w:val="16"/>
        <w:szCs w:val="20"/>
      </w:rPr>
    </w:pPr>
    <w:r w:rsidRPr="00A25153">
      <w:rPr>
        <w:rFonts w:ascii="Times New Roman" w:eastAsia="Times New Roman" w:hAnsi="Times New Roman" w:cs="Times New Roman"/>
        <w:i/>
        <w:sz w:val="16"/>
        <w:szCs w:val="20"/>
      </w:rPr>
      <w:t>Srimanth and Dhakal</w:t>
    </w:r>
    <w:r w:rsidR="004F57C2" w:rsidRPr="005140D8">
      <w:rPr>
        <w:rFonts w:ascii="Times New Roman" w:eastAsia="Times New Roman" w:hAnsi="Times New Roman" w:cs="Times New Roman"/>
        <w:i/>
        <w:sz w:val="16"/>
        <w:szCs w:val="20"/>
      </w:rPr>
      <w:t xml:space="preserve">; </w:t>
    </w:r>
    <w:r w:rsidR="00CE0F39" w:rsidRPr="005140D8">
      <w:rPr>
        <w:rFonts w:ascii="Times New Roman" w:eastAsia="Times New Roman" w:hAnsi="Times New Roman" w:cs="Times New Roman"/>
        <w:i/>
        <w:sz w:val="16"/>
        <w:szCs w:val="20"/>
      </w:rPr>
      <w:t xml:space="preserve">Asian J. Adv. Med. Sci., vol. </w:t>
    </w:r>
    <w:r w:rsidR="00491E06">
      <w:rPr>
        <w:rFonts w:ascii="Times New Roman" w:eastAsia="Times New Roman" w:hAnsi="Times New Roman" w:cs="Times New Roman"/>
        <w:i/>
        <w:sz w:val="16"/>
        <w:szCs w:val="20"/>
      </w:rPr>
      <w:t>8</w:t>
    </w:r>
    <w:r w:rsidR="00CE0F39" w:rsidRPr="005140D8">
      <w:rPr>
        <w:rFonts w:ascii="Times New Roman" w:eastAsia="Times New Roman" w:hAnsi="Times New Roman" w:cs="Times New Roman"/>
        <w:i/>
        <w:sz w:val="16"/>
        <w:szCs w:val="20"/>
      </w:rPr>
      <w:t xml:space="preserve">, no. </w:t>
    </w:r>
    <w:r w:rsidR="00491E06">
      <w:rPr>
        <w:rFonts w:ascii="Times New Roman" w:eastAsia="Times New Roman" w:hAnsi="Times New Roman" w:cs="Times New Roman"/>
        <w:i/>
        <w:sz w:val="16"/>
        <w:szCs w:val="20"/>
      </w:rPr>
      <w:t>1</w:t>
    </w:r>
    <w:r w:rsidR="00CE0F39" w:rsidRPr="005140D8">
      <w:rPr>
        <w:rFonts w:ascii="Times New Roman" w:eastAsia="Times New Roman" w:hAnsi="Times New Roman" w:cs="Times New Roman"/>
        <w:i/>
        <w:sz w:val="16"/>
        <w:szCs w:val="20"/>
      </w:rPr>
      <w:t xml:space="preserve">, pp. </w:t>
    </w:r>
    <w:r w:rsidR="00491E06" w:rsidRPr="00491E06">
      <w:rPr>
        <w:rFonts w:ascii="Times New Roman" w:eastAsia="Times New Roman" w:hAnsi="Times New Roman" w:cs="Times New Roman"/>
        <w:i/>
        <w:iCs/>
        <w:sz w:val="16"/>
        <w:szCs w:val="20"/>
      </w:rPr>
      <w:t>72-85, 2026</w:t>
    </w:r>
    <w:r w:rsidR="00D851AD" w:rsidRPr="005140D8">
      <w:rPr>
        <w:rFonts w:ascii="Times New Roman" w:eastAsia="Times New Roman" w:hAnsi="Times New Roman" w:cs="Times New Roman"/>
        <w:i/>
        <w:sz w:val="16"/>
        <w:szCs w:val="20"/>
      </w:rPr>
      <w:t xml:space="preserve">; Article </w:t>
    </w:r>
    <w:proofErr w:type="gramStart"/>
    <w:r w:rsidR="00D851AD" w:rsidRPr="005140D8">
      <w:rPr>
        <w:rFonts w:ascii="Times New Roman" w:eastAsia="Times New Roman" w:hAnsi="Times New Roman" w:cs="Times New Roman"/>
        <w:i/>
        <w:sz w:val="16"/>
        <w:szCs w:val="20"/>
      </w:rPr>
      <w:t>no.</w:t>
    </w:r>
    <w:r w:rsidR="00CE0F39" w:rsidRPr="005140D8">
      <w:rPr>
        <w:rFonts w:ascii="Times New Roman" w:eastAsia="Times New Roman" w:hAnsi="Times New Roman" w:cs="Times New Roman"/>
        <w:i/>
        <w:sz w:val="16"/>
        <w:szCs w:val="20"/>
      </w:rPr>
      <w:t>AJOAIMS</w:t>
    </w:r>
    <w:proofErr w:type="gramEnd"/>
    <w:r w:rsidRPr="00A25153">
      <w:rPr>
        <w:rFonts w:ascii="Times New Roman" w:eastAsia="Times New Roman" w:hAnsi="Times New Roman" w:cs="Times New Roman"/>
        <w:i/>
        <w:sz w:val="16"/>
        <w:szCs w:val="20"/>
      </w:rPr>
      <w:t>.5995</w:t>
    </w:r>
  </w:p>
  <w:p w14:paraId="14B58D01" w14:textId="77777777" w:rsidR="00974577" w:rsidRPr="005140D8" w:rsidRDefault="00974577" w:rsidP="00171FBC">
    <w:pPr>
      <w:tabs>
        <w:tab w:val="center" w:pos="4320"/>
        <w:tab w:val="right" w:pos="8640"/>
      </w:tabs>
      <w:spacing w:after="0" w:line="240" w:lineRule="auto"/>
      <w:jc w:val="right"/>
      <w:rPr>
        <w:rFonts w:ascii="Times New Roman" w:eastAsia="Times New Roman" w:hAnsi="Times New Roman" w:cs="Times New Roman"/>
        <w:i/>
        <w:sz w:val="16"/>
        <w:szCs w:val="20"/>
      </w:rPr>
    </w:pPr>
  </w:p>
  <w:p w14:paraId="13EF165D" w14:textId="77777777" w:rsidR="00171FBC" w:rsidRPr="005140D8" w:rsidRDefault="00171FBC" w:rsidP="00171FBC">
    <w:pPr>
      <w:tabs>
        <w:tab w:val="center" w:pos="4320"/>
        <w:tab w:val="right" w:pos="8640"/>
      </w:tabs>
      <w:spacing w:after="0" w:line="240" w:lineRule="auto"/>
      <w:jc w:val="right"/>
      <w:rPr>
        <w:rFonts w:ascii="Times New Roman" w:hAnsi="Times New Roman" w:cs="Times New Roman"/>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FE8A5" w14:textId="77777777" w:rsidR="00CA6BF1" w:rsidRDefault="00CA6B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10054"/>
    <w:multiLevelType w:val="multilevel"/>
    <w:tmpl w:val="AABEB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F00CDE"/>
    <w:multiLevelType w:val="hybridMultilevel"/>
    <w:tmpl w:val="989E5C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794D5085"/>
    <w:multiLevelType w:val="hybridMultilevel"/>
    <w:tmpl w:val="8230C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1906ED"/>
    <w:multiLevelType w:val="hybridMultilevel"/>
    <w:tmpl w:val="A86EFC4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729962545">
    <w:abstractNumId w:val="2"/>
  </w:num>
  <w:num w:numId="2" w16cid:durableId="855925431">
    <w:abstractNumId w:val="1"/>
  </w:num>
  <w:num w:numId="3" w16cid:durableId="2122068321">
    <w:abstractNumId w:val="3"/>
  </w:num>
  <w:num w:numId="4" w16cid:durableId="1489319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revisionView w:markup="0"/>
  <w:defaultTabStop w:val="720"/>
  <w:drawingGridHorizontalSpacing w:val="110"/>
  <w:displayHorizontalDrawingGridEvery w:val="2"/>
  <w:characterSpacingControl w:val="doNotCompress"/>
  <w:hdrShapeDefaults>
    <o:shapedefaults v:ext="edit" spidmax="2081"/>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13266"/>
    <w:rsid w:val="00006E3F"/>
    <w:rsid w:val="00011047"/>
    <w:rsid w:val="0001183C"/>
    <w:rsid w:val="000140EA"/>
    <w:rsid w:val="000217CF"/>
    <w:rsid w:val="00031E47"/>
    <w:rsid w:val="00034ECF"/>
    <w:rsid w:val="000372DB"/>
    <w:rsid w:val="00041716"/>
    <w:rsid w:val="000A1EF6"/>
    <w:rsid w:val="000A2031"/>
    <w:rsid w:val="000B4591"/>
    <w:rsid w:val="000C2131"/>
    <w:rsid w:val="000C2408"/>
    <w:rsid w:val="000C32DE"/>
    <w:rsid w:val="000E1081"/>
    <w:rsid w:val="000E4430"/>
    <w:rsid w:val="001004BF"/>
    <w:rsid w:val="00100B40"/>
    <w:rsid w:val="0010611F"/>
    <w:rsid w:val="00117484"/>
    <w:rsid w:val="00124A37"/>
    <w:rsid w:val="0013012E"/>
    <w:rsid w:val="00135831"/>
    <w:rsid w:val="001458EB"/>
    <w:rsid w:val="00146BE5"/>
    <w:rsid w:val="00150CE4"/>
    <w:rsid w:val="00156510"/>
    <w:rsid w:val="00171FBC"/>
    <w:rsid w:val="0017217A"/>
    <w:rsid w:val="00190C2D"/>
    <w:rsid w:val="001964D7"/>
    <w:rsid w:val="001A387A"/>
    <w:rsid w:val="001A4A55"/>
    <w:rsid w:val="001A69A3"/>
    <w:rsid w:val="001B111C"/>
    <w:rsid w:val="001C30DD"/>
    <w:rsid w:val="001C6BC5"/>
    <w:rsid w:val="001D00F5"/>
    <w:rsid w:val="00201ECF"/>
    <w:rsid w:val="002024B6"/>
    <w:rsid w:val="00205B59"/>
    <w:rsid w:val="00220A21"/>
    <w:rsid w:val="00222366"/>
    <w:rsid w:val="002228B1"/>
    <w:rsid w:val="00230CAD"/>
    <w:rsid w:val="00244D42"/>
    <w:rsid w:val="00250114"/>
    <w:rsid w:val="00250135"/>
    <w:rsid w:val="002573C9"/>
    <w:rsid w:val="00260707"/>
    <w:rsid w:val="00263AE4"/>
    <w:rsid w:val="0028695F"/>
    <w:rsid w:val="002945AE"/>
    <w:rsid w:val="00297CC0"/>
    <w:rsid w:val="002A041A"/>
    <w:rsid w:val="002A078A"/>
    <w:rsid w:val="002A635B"/>
    <w:rsid w:val="002B02E7"/>
    <w:rsid w:val="002B46D2"/>
    <w:rsid w:val="002C7DF4"/>
    <w:rsid w:val="002D06CB"/>
    <w:rsid w:val="002D6E70"/>
    <w:rsid w:val="003139C6"/>
    <w:rsid w:val="0031517D"/>
    <w:rsid w:val="00316FA3"/>
    <w:rsid w:val="00330218"/>
    <w:rsid w:val="00335947"/>
    <w:rsid w:val="00345D04"/>
    <w:rsid w:val="0036228D"/>
    <w:rsid w:val="00370C0D"/>
    <w:rsid w:val="00376494"/>
    <w:rsid w:val="00380ACB"/>
    <w:rsid w:val="003B2B85"/>
    <w:rsid w:val="003B4704"/>
    <w:rsid w:val="003D0DD7"/>
    <w:rsid w:val="003D6D5F"/>
    <w:rsid w:val="003F47A0"/>
    <w:rsid w:val="00400222"/>
    <w:rsid w:val="00407DAB"/>
    <w:rsid w:val="00424421"/>
    <w:rsid w:val="0043035E"/>
    <w:rsid w:val="00441E47"/>
    <w:rsid w:val="004440EF"/>
    <w:rsid w:val="00450DAC"/>
    <w:rsid w:val="00454377"/>
    <w:rsid w:val="00455B14"/>
    <w:rsid w:val="00456778"/>
    <w:rsid w:val="004573F9"/>
    <w:rsid w:val="00463FC5"/>
    <w:rsid w:val="004743E7"/>
    <w:rsid w:val="00477414"/>
    <w:rsid w:val="004818FC"/>
    <w:rsid w:val="00485F13"/>
    <w:rsid w:val="0048681C"/>
    <w:rsid w:val="00490A64"/>
    <w:rsid w:val="00491E06"/>
    <w:rsid w:val="004B60EC"/>
    <w:rsid w:val="004C0D95"/>
    <w:rsid w:val="004C5940"/>
    <w:rsid w:val="004C5D40"/>
    <w:rsid w:val="004D1486"/>
    <w:rsid w:val="004E094F"/>
    <w:rsid w:val="004E27C9"/>
    <w:rsid w:val="004F18FA"/>
    <w:rsid w:val="004F2085"/>
    <w:rsid w:val="004F2526"/>
    <w:rsid w:val="004F2706"/>
    <w:rsid w:val="004F57C2"/>
    <w:rsid w:val="00503560"/>
    <w:rsid w:val="00512B30"/>
    <w:rsid w:val="005140D8"/>
    <w:rsid w:val="0051528E"/>
    <w:rsid w:val="005246CD"/>
    <w:rsid w:val="00526262"/>
    <w:rsid w:val="00536BCB"/>
    <w:rsid w:val="00540A23"/>
    <w:rsid w:val="0054300F"/>
    <w:rsid w:val="005555DB"/>
    <w:rsid w:val="00562C90"/>
    <w:rsid w:val="00565BF9"/>
    <w:rsid w:val="005722FD"/>
    <w:rsid w:val="005734C1"/>
    <w:rsid w:val="0058198B"/>
    <w:rsid w:val="005855D2"/>
    <w:rsid w:val="00585E94"/>
    <w:rsid w:val="005A1751"/>
    <w:rsid w:val="005A62EF"/>
    <w:rsid w:val="005C26C6"/>
    <w:rsid w:val="005C63EE"/>
    <w:rsid w:val="006046D0"/>
    <w:rsid w:val="00604FB0"/>
    <w:rsid w:val="00611C26"/>
    <w:rsid w:val="00623367"/>
    <w:rsid w:val="00647361"/>
    <w:rsid w:val="006642C2"/>
    <w:rsid w:val="006656D9"/>
    <w:rsid w:val="00672597"/>
    <w:rsid w:val="00677844"/>
    <w:rsid w:val="00682F1A"/>
    <w:rsid w:val="00684271"/>
    <w:rsid w:val="006853A4"/>
    <w:rsid w:val="0068719D"/>
    <w:rsid w:val="006A2817"/>
    <w:rsid w:val="006A2F45"/>
    <w:rsid w:val="006A3FCB"/>
    <w:rsid w:val="006B54FB"/>
    <w:rsid w:val="006C667C"/>
    <w:rsid w:val="006C7C39"/>
    <w:rsid w:val="006D658B"/>
    <w:rsid w:val="006E20FD"/>
    <w:rsid w:val="007017E2"/>
    <w:rsid w:val="00702EA5"/>
    <w:rsid w:val="00703125"/>
    <w:rsid w:val="007137FB"/>
    <w:rsid w:val="00721737"/>
    <w:rsid w:val="007240A8"/>
    <w:rsid w:val="007277E6"/>
    <w:rsid w:val="007323FC"/>
    <w:rsid w:val="00747D62"/>
    <w:rsid w:val="007622EE"/>
    <w:rsid w:val="00771C18"/>
    <w:rsid w:val="0078302E"/>
    <w:rsid w:val="00785993"/>
    <w:rsid w:val="007B23B8"/>
    <w:rsid w:val="007B380F"/>
    <w:rsid w:val="007B63EC"/>
    <w:rsid w:val="007C49C7"/>
    <w:rsid w:val="007E02F8"/>
    <w:rsid w:val="007E4345"/>
    <w:rsid w:val="007F504C"/>
    <w:rsid w:val="00807ED0"/>
    <w:rsid w:val="00812548"/>
    <w:rsid w:val="00843678"/>
    <w:rsid w:val="00853DC1"/>
    <w:rsid w:val="00865FD7"/>
    <w:rsid w:val="00873867"/>
    <w:rsid w:val="00873A5C"/>
    <w:rsid w:val="00874B08"/>
    <w:rsid w:val="008776D1"/>
    <w:rsid w:val="00897A62"/>
    <w:rsid w:val="008C3188"/>
    <w:rsid w:val="008C3497"/>
    <w:rsid w:val="008D1B9A"/>
    <w:rsid w:val="008F0448"/>
    <w:rsid w:val="008F3AD1"/>
    <w:rsid w:val="008F67E8"/>
    <w:rsid w:val="008F6CDA"/>
    <w:rsid w:val="00903441"/>
    <w:rsid w:val="009108DB"/>
    <w:rsid w:val="00924CB7"/>
    <w:rsid w:val="00942BF1"/>
    <w:rsid w:val="009431AE"/>
    <w:rsid w:val="00945230"/>
    <w:rsid w:val="00945900"/>
    <w:rsid w:val="00951D84"/>
    <w:rsid w:val="00953210"/>
    <w:rsid w:val="00962251"/>
    <w:rsid w:val="00965D0D"/>
    <w:rsid w:val="00974577"/>
    <w:rsid w:val="009812C3"/>
    <w:rsid w:val="0098174A"/>
    <w:rsid w:val="00982102"/>
    <w:rsid w:val="00982184"/>
    <w:rsid w:val="00984737"/>
    <w:rsid w:val="009B0B88"/>
    <w:rsid w:val="009B6A28"/>
    <w:rsid w:val="009B782C"/>
    <w:rsid w:val="009D5065"/>
    <w:rsid w:val="009E1EFB"/>
    <w:rsid w:val="009E5656"/>
    <w:rsid w:val="009F058B"/>
    <w:rsid w:val="00A01183"/>
    <w:rsid w:val="00A0172A"/>
    <w:rsid w:val="00A0275B"/>
    <w:rsid w:val="00A070D3"/>
    <w:rsid w:val="00A22248"/>
    <w:rsid w:val="00A22308"/>
    <w:rsid w:val="00A25153"/>
    <w:rsid w:val="00A30A6F"/>
    <w:rsid w:val="00A313DC"/>
    <w:rsid w:val="00A324F0"/>
    <w:rsid w:val="00A5393A"/>
    <w:rsid w:val="00A5640A"/>
    <w:rsid w:val="00A61B2E"/>
    <w:rsid w:val="00A6662D"/>
    <w:rsid w:val="00A706F7"/>
    <w:rsid w:val="00A90597"/>
    <w:rsid w:val="00A90DA5"/>
    <w:rsid w:val="00AA0D41"/>
    <w:rsid w:val="00AA751E"/>
    <w:rsid w:val="00AB0D5D"/>
    <w:rsid w:val="00AB7D38"/>
    <w:rsid w:val="00AC3409"/>
    <w:rsid w:val="00AC5767"/>
    <w:rsid w:val="00AE1DC2"/>
    <w:rsid w:val="00AF47AA"/>
    <w:rsid w:val="00B07A30"/>
    <w:rsid w:val="00B13C93"/>
    <w:rsid w:val="00B15404"/>
    <w:rsid w:val="00B168F5"/>
    <w:rsid w:val="00B22CD6"/>
    <w:rsid w:val="00B414F6"/>
    <w:rsid w:val="00B60A10"/>
    <w:rsid w:val="00B635EC"/>
    <w:rsid w:val="00B7605E"/>
    <w:rsid w:val="00B77C38"/>
    <w:rsid w:val="00B8786D"/>
    <w:rsid w:val="00B87F18"/>
    <w:rsid w:val="00B90097"/>
    <w:rsid w:val="00B926FB"/>
    <w:rsid w:val="00B950C8"/>
    <w:rsid w:val="00B976CC"/>
    <w:rsid w:val="00BA1088"/>
    <w:rsid w:val="00BB5B87"/>
    <w:rsid w:val="00BD060A"/>
    <w:rsid w:val="00BD4174"/>
    <w:rsid w:val="00BE0C36"/>
    <w:rsid w:val="00BE79DC"/>
    <w:rsid w:val="00BF3AB2"/>
    <w:rsid w:val="00C109C2"/>
    <w:rsid w:val="00C11417"/>
    <w:rsid w:val="00C13266"/>
    <w:rsid w:val="00C14909"/>
    <w:rsid w:val="00C32323"/>
    <w:rsid w:val="00C333AF"/>
    <w:rsid w:val="00C4408D"/>
    <w:rsid w:val="00C44FD6"/>
    <w:rsid w:val="00C47C47"/>
    <w:rsid w:val="00C56D42"/>
    <w:rsid w:val="00C70BB1"/>
    <w:rsid w:val="00C8379B"/>
    <w:rsid w:val="00C972F4"/>
    <w:rsid w:val="00CA6BF1"/>
    <w:rsid w:val="00CB0A4D"/>
    <w:rsid w:val="00CD3A89"/>
    <w:rsid w:val="00CD5E65"/>
    <w:rsid w:val="00CE0F39"/>
    <w:rsid w:val="00CE3E7D"/>
    <w:rsid w:val="00CF0049"/>
    <w:rsid w:val="00CF722D"/>
    <w:rsid w:val="00D178E7"/>
    <w:rsid w:val="00D20C8C"/>
    <w:rsid w:val="00D210BB"/>
    <w:rsid w:val="00D34AFB"/>
    <w:rsid w:val="00D51808"/>
    <w:rsid w:val="00D61E1D"/>
    <w:rsid w:val="00D720CF"/>
    <w:rsid w:val="00D851AD"/>
    <w:rsid w:val="00D9224D"/>
    <w:rsid w:val="00D931D5"/>
    <w:rsid w:val="00D93D12"/>
    <w:rsid w:val="00DA1215"/>
    <w:rsid w:val="00DA23C6"/>
    <w:rsid w:val="00DB6A8C"/>
    <w:rsid w:val="00DC27D4"/>
    <w:rsid w:val="00DC646E"/>
    <w:rsid w:val="00DD044A"/>
    <w:rsid w:val="00DE434D"/>
    <w:rsid w:val="00DE494D"/>
    <w:rsid w:val="00DE5E5F"/>
    <w:rsid w:val="00E17D85"/>
    <w:rsid w:val="00E214BA"/>
    <w:rsid w:val="00E21658"/>
    <w:rsid w:val="00E21D83"/>
    <w:rsid w:val="00E2233D"/>
    <w:rsid w:val="00E30CC0"/>
    <w:rsid w:val="00E4411C"/>
    <w:rsid w:val="00E448E0"/>
    <w:rsid w:val="00E46D35"/>
    <w:rsid w:val="00E51A67"/>
    <w:rsid w:val="00E531CD"/>
    <w:rsid w:val="00E57685"/>
    <w:rsid w:val="00E702F4"/>
    <w:rsid w:val="00E7093B"/>
    <w:rsid w:val="00E72385"/>
    <w:rsid w:val="00E73D8F"/>
    <w:rsid w:val="00E743C6"/>
    <w:rsid w:val="00E76C09"/>
    <w:rsid w:val="00E8718E"/>
    <w:rsid w:val="00E96D27"/>
    <w:rsid w:val="00EA60D7"/>
    <w:rsid w:val="00EB1005"/>
    <w:rsid w:val="00EB740E"/>
    <w:rsid w:val="00EB7881"/>
    <w:rsid w:val="00EC09B7"/>
    <w:rsid w:val="00ED402E"/>
    <w:rsid w:val="00ED56A4"/>
    <w:rsid w:val="00ED6468"/>
    <w:rsid w:val="00EE391D"/>
    <w:rsid w:val="00EE3EA7"/>
    <w:rsid w:val="00EF3322"/>
    <w:rsid w:val="00EF5B37"/>
    <w:rsid w:val="00F02170"/>
    <w:rsid w:val="00F0322C"/>
    <w:rsid w:val="00F12432"/>
    <w:rsid w:val="00F12A20"/>
    <w:rsid w:val="00F12D09"/>
    <w:rsid w:val="00F219A5"/>
    <w:rsid w:val="00F32789"/>
    <w:rsid w:val="00F372CA"/>
    <w:rsid w:val="00F54FF1"/>
    <w:rsid w:val="00F55591"/>
    <w:rsid w:val="00F62C79"/>
    <w:rsid w:val="00F6450F"/>
    <w:rsid w:val="00F656D4"/>
    <w:rsid w:val="00F725F3"/>
    <w:rsid w:val="00F86A14"/>
    <w:rsid w:val="00FA6531"/>
    <w:rsid w:val="00FA6E5A"/>
    <w:rsid w:val="00FE3875"/>
    <w:rsid w:val="00FE419C"/>
    <w:rsid w:val="00FF1B8C"/>
    <w:rsid w:val="00FF7F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1"/>
    <o:shapelayout v:ext="edit">
      <o:idmap v:ext="edit" data="2"/>
      <o:rules v:ext="edit">
        <o:r id="V:Rule1" type="connector" idref="#_x0000_s2079"/>
        <o:r id="V:Rule2" type="connector" idref="#_x0000_s2080"/>
      </o:rules>
    </o:shapelayout>
  </w:shapeDefaults>
  <w:decimalSymbol w:val="."/>
  <w:listSeparator w:val=","/>
  <w14:docId w14:val="6C485149"/>
  <w15:docId w15:val="{5F77BEE3-3A3C-4FCC-AA8F-65EA15864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35E"/>
  </w:style>
  <w:style w:type="paragraph" w:styleId="Heading1">
    <w:name w:val="heading 1"/>
    <w:basedOn w:val="Normal"/>
    <w:next w:val="Normal"/>
    <w:link w:val="Heading1Char"/>
    <w:uiPriority w:val="9"/>
    <w:qFormat/>
    <w:rsid w:val="00540A23"/>
    <w:pPr>
      <w:keepNext/>
      <w:keepLines/>
      <w:spacing w:after="0" w:line="240" w:lineRule="auto"/>
      <w:jc w:val="right"/>
      <w:outlineLvl w:val="0"/>
    </w:pPr>
    <w:rPr>
      <w:rFonts w:ascii="Arial" w:eastAsiaTheme="majorEastAsia" w:hAnsi="Arial" w:cstheme="majorBidi"/>
      <w:b/>
      <w:bCs/>
      <w:sz w:val="36"/>
      <w:szCs w:val="28"/>
    </w:rPr>
  </w:style>
  <w:style w:type="paragraph" w:styleId="Heading2">
    <w:name w:val="heading 2"/>
    <w:basedOn w:val="Normal"/>
    <w:next w:val="Normal"/>
    <w:link w:val="Heading2Char"/>
    <w:uiPriority w:val="9"/>
    <w:unhideWhenUsed/>
    <w:qFormat/>
    <w:rsid w:val="00F725F3"/>
    <w:pPr>
      <w:keepNext/>
      <w:keepLines/>
      <w:spacing w:after="0" w:line="240" w:lineRule="auto"/>
      <w:jc w:val="both"/>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585E94"/>
    <w:pPr>
      <w:keepNext/>
      <w:keepLines/>
      <w:spacing w:after="0" w:line="240" w:lineRule="auto"/>
      <w:ind w:left="2160"/>
      <w:outlineLvl w:val="2"/>
    </w:pPr>
    <w:rPr>
      <w:rFonts w:ascii="Arial" w:eastAsiaTheme="majorEastAsia" w:hAnsi="Arial" w:cstheme="majorBidi"/>
      <w:b/>
      <w:bCs/>
      <w:i/>
      <w:sz w:val="24"/>
    </w:rPr>
  </w:style>
  <w:style w:type="paragraph" w:styleId="Heading4">
    <w:name w:val="heading 4"/>
    <w:basedOn w:val="Normal"/>
    <w:next w:val="Normal"/>
    <w:link w:val="Heading4Char"/>
    <w:uiPriority w:val="9"/>
    <w:unhideWhenUsed/>
    <w:qFormat/>
    <w:rsid w:val="0017217A"/>
    <w:pPr>
      <w:keepNext/>
      <w:keepLines/>
      <w:spacing w:after="0" w:line="240" w:lineRule="auto"/>
      <w:ind w:left="2160"/>
      <w:outlineLvl w:val="3"/>
    </w:pPr>
    <w:rPr>
      <w:rFonts w:ascii="Arial" w:eastAsiaTheme="majorEastAsia" w:hAnsi="Arial" w:cstheme="majorBidi"/>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3A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3A89"/>
  </w:style>
  <w:style w:type="paragraph" w:styleId="Footer">
    <w:name w:val="footer"/>
    <w:basedOn w:val="Normal"/>
    <w:link w:val="FooterChar"/>
    <w:uiPriority w:val="99"/>
    <w:unhideWhenUsed/>
    <w:rsid w:val="00CD3A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3A89"/>
  </w:style>
  <w:style w:type="paragraph" w:customStyle="1" w:styleId="ReferHead">
    <w:name w:val="Refer Head"/>
    <w:basedOn w:val="Normal"/>
    <w:rsid w:val="00BB5B87"/>
    <w:pPr>
      <w:keepNext/>
      <w:spacing w:after="240" w:line="240" w:lineRule="auto"/>
    </w:pPr>
    <w:rPr>
      <w:rFonts w:ascii="Helvetica" w:eastAsia="Times New Roman" w:hAnsi="Helvetica" w:cs="Times New Roman"/>
      <w:b/>
      <w:caps/>
      <w:szCs w:val="20"/>
    </w:rPr>
  </w:style>
  <w:style w:type="character" w:styleId="Hyperlink">
    <w:name w:val="Hyperlink"/>
    <w:basedOn w:val="DefaultParagraphFont"/>
    <w:uiPriority w:val="99"/>
    <w:unhideWhenUsed/>
    <w:rsid w:val="0098174A"/>
    <w:rPr>
      <w:color w:val="0000FF" w:themeColor="hyperlink"/>
      <w:u w:val="single"/>
    </w:rPr>
  </w:style>
  <w:style w:type="paragraph" w:styleId="BalloonText">
    <w:name w:val="Balloon Text"/>
    <w:basedOn w:val="Normal"/>
    <w:link w:val="BalloonTextChar"/>
    <w:uiPriority w:val="99"/>
    <w:semiHidden/>
    <w:unhideWhenUsed/>
    <w:rsid w:val="00EB74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740E"/>
    <w:rPr>
      <w:rFonts w:ascii="Tahoma" w:hAnsi="Tahoma" w:cs="Tahoma"/>
      <w:sz w:val="16"/>
      <w:szCs w:val="16"/>
    </w:rPr>
  </w:style>
  <w:style w:type="character" w:customStyle="1" w:styleId="Heading1Char">
    <w:name w:val="Heading 1 Char"/>
    <w:basedOn w:val="DefaultParagraphFont"/>
    <w:link w:val="Heading1"/>
    <w:uiPriority w:val="9"/>
    <w:rsid w:val="00540A23"/>
    <w:rPr>
      <w:rFonts w:ascii="Arial" w:eastAsiaTheme="majorEastAsia" w:hAnsi="Arial" w:cstheme="majorBidi"/>
      <w:b/>
      <w:bCs/>
      <w:sz w:val="36"/>
      <w:szCs w:val="28"/>
    </w:rPr>
  </w:style>
  <w:style w:type="character" w:customStyle="1" w:styleId="Heading2Char">
    <w:name w:val="Heading 2 Char"/>
    <w:basedOn w:val="DefaultParagraphFont"/>
    <w:link w:val="Heading2"/>
    <w:uiPriority w:val="9"/>
    <w:rsid w:val="00F725F3"/>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585E94"/>
    <w:rPr>
      <w:rFonts w:ascii="Arial" w:eastAsiaTheme="majorEastAsia" w:hAnsi="Arial" w:cstheme="majorBidi"/>
      <w:b/>
      <w:bCs/>
      <w:i/>
      <w:sz w:val="24"/>
    </w:rPr>
  </w:style>
  <w:style w:type="character" w:customStyle="1" w:styleId="Heading4Char">
    <w:name w:val="Heading 4 Char"/>
    <w:basedOn w:val="DefaultParagraphFont"/>
    <w:link w:val="Heading4"/>
    <w:uiPriority w:val="9"/>
    <w:rsid w:val="0017217A"/>
    <w:rPr>
      <w:rFonts w:ascii="Arial" w:eastAsiaTheme="majorEastAsia" w:hAnsi="Arial" w:cstheme="majorBidi"/>
      <w:b/>
      <w:bCs/>
      <w:i/>
      <w:iCs/>
      <w:sz w:val="20"/>
    </w:rPr>
  </w:style>
  <w:style w:type="paragraph" w:styleId="ListParagraph">
    <w:name w:val="List Paragraph"/>
    <w:basedOn w:val="Normal"/>
    <w:uiPriority w:val="34"/>
    <w:qFormat/>
    <w:rsid w:val="00A25153"/>
    <w:pPr>
      <w:spacing w:after="160" w:line="278" w:lineRule="auto"/>
      <w:ind w:left="720"/>
      <w:contextualSpacing/>
    </w:pPr>
    <w:rPr>
      <w:rFonts w:eastAsiaTheme="minorHAnsi"/>
      <w:kern w:val="2"/>
      <w:sz w:val="24"/>
      <w:szCs w:val="24"/>
      <w:lang w:val="en-IN"/>
    </w:rPr>
  </w:style>
  <w:style w:type="table" w:styleId="TableGrid">
    <w:name w:val="Table Grid"/>
    <w:basedOn w:val="TableNormal"/>
    <w:uiPriority w:val="39"/>
    <w:rsid w:val="00A25153"/>
    <w:pPr>
      <w:spacing w:after="0" w:line="240" w:lineRule="auto"/>
    </w:pPr>
    <w:rPr>
      <w:rFonts w:eastAsiaTheme="minorHAnsi"/>
      <w:kern w:val="2"/>
      <w:sz w:val="24"/>
      <w:szCs w:val="24"/>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6BC5"/>
    <w:rPr>
      <w:color w:val="605E5C"/>
      <w:shd w:val="clear" w:color="auto" w:fill="E1DFDD"/>
    </w:rPr>
  </w:style>
  <w:style w:type="paragraph" w:customStyle="1" w:styleId="FrameContents">
    <w:name w:val="Frame Contents"/>
    <w:basedOn w:val="Normal"/>
    <w:qFormat/>
    <w:rsid w:val="00C44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22986">
      <w:bodyDiv w:val="1"/>
      <w:marLeft w:val="0"/>
      <w:marRight w:val="0"/>
      <w:marTop w:val="0"/>
      <w:marBottom w:val="0"/>
      <w:divBdr>
        <w:top w:val="none" w:sz="0" w:space="0" w:color="auto"/>
        <w:left w:val="none" w:sz="0" w:space="0" w:color="auto"/>
        <w:bottom w:val="none" w:sz="0" w:space="0" w:color="auto"/>
        <w:right w:val="none" w:sz="0" w:space="0" w:color="auto"/>
      </w:divBdr>
    </w:div>
    <w:div w:id="665867730">
      <w:bodyDiv w:val="1"/>
      <w:marLeft w:val="0"/>
      <w:marRight w:val="0"/>
      <w:marTop w:val="0"/>
      <w:marBottom w:val="0"/>
      <w:divBdr>
        <w:top w:val="none" w:sz="0" w:space="0" w:color="auto"/>
        <w:left w:val="none" w:sz="0" w:space="0" w:color="auto"/>
        <w:bottom w:val="none" w:sz="0" w:space="0" w:color="auto"/>
        <w:right w:val="none" w:sz="0" w:space="0" w:color="auto"/>
      </w:divBdr>
    </w:div>
    <w:div w:id="752046105">
      <w:bodyDiv w:val="1"/>
      <w:marLeft w:val="0"/>
      <w:marRight w:val="0"/>
      <w:marTop w:val="0"/>
      <w:marBottom w:val="0"/>
      <w:divBdr>
        <w:top w:val="none" w:sz="0" w:space="0" w:color="auto"/>
        <w:left w:val="none" w:sz="0" w:space="0" w:color="auto"/>
        <w:bottom w:val="none" w:sz="0" w:space="0" w:color="auto"/>
        <w:right w:val="none" w:sz="0" w:space="0" w:color="auto"/>
      </w:divBdr>
    </w:div>
    <w:div w:id="965622207">
      <w:bodyDiv w:val="1"/>
      <w:marLeft w:val="0"/>
      <w:marRight w:val="0"/>
      <w:marTop w:val="0"/>
      <w:marBottom w:val="0"/>
      <w:divBdr>
        <w:top w:val="none" w:sz="0" w:space="0" w:color="auto"/>
        <w:left w:val="none" w:sz="0" w:space="0" w:color="auto"/>
        <w:bottom w:val="none" w:sz="0" w:space="0" w:color="auto"/>
        <w:right w:val="none" w:sz="0" w:space="0" w:color="auto"/>
      </w:divBdr>
    </w:div>
    <w:div w:id="1023437756">
      <w:bodyDiv w:val="1"/>
      <w:marLeft w:val="0"/>
      <w:marRight w:val="0"/>
      <w:marTop w:val="0"/>
      <w:marBottom w:val="0"/>
      <w:divBdr>
        <w:top w:val="none" w:sz="0" w:space="0" w:color="auto"/>
        <w:left w:val="none" w:sz="0" w:space="0" w:color="auto"/>
        <w:bottom w:val="none" w:sz="0" w:space="0" w:color="auto"/>
        <w:right w:val="none" w:sz="0" w:space="0" w:color="auto"/>
      </w:divBdr>
    </w:div>
    <w:div w:id="1099760216">
      <w:bodyDiv w:val="1"/>
      <w:marLeft w:val="0"/>
      <w:marRight w:val="0"/>
      <w:marTop w:val="0"/>
      <w:marBottom w:val="0"/>
      <w:divBdr>
        <w:top w:val="none" w:sz="0" w:space="0" w:color="auto"/>
        <w:left w:val="none" w:sz="0" w:space="0" w:color="auto"/>
        <w:bottom w:val="none" w:sz="0" w:space="0" w:color="auto"/>
        <w:right w:val="none" w:sz="0" w:space="0" w:color="auto"/>
      </w:divBdr>
    </w:div>
    <w:div w:id="1360087883">
      <w:bodyDiv w:val="1"/>
      <w:marLeft w:val="0"/>
      <w:marRight w:val="0"/>
      <w:marTop w:val="0"/>
      <w:marBottom w:val="0"/>
      <w:divBdr>
        <w:top w:val="none" w:sz="0" w:space="0" w:color="auto"/>
        <w:left w:val="none" w:sz="0" w:space="0" w:color="auto"/>
        <w:bottom w:val="none" w:sz="0" w:space="0" w:color="auto"/>
        <w:right w:val="none" w:sz="0" w:space="0" w:color="auto"/>
      </w:divBdr>
    </w:div>
    <w:div w:id="197868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i.org/10.1136/amiajnl-2014-002659" TargetMode="External"/><Relationship Id="rId18" Type="http://schemas.openxmlformats.org/officeDocument/2006/relationships/hyperlink" Target="https://doi.org/10.7326/M14-0697" TargetMode="External"/><Relationship Id="rId26" Type="http://schemas.openxmlformats.org/officeDocument/2006/relationships/hyperlink" Target="https://doi.org/10.1136/bmjgh-2016-000118" TargetMode="External"/><Relationship Id="rId39" Type="http://schemas.openxmlformats.org/officeDocument/2006/relationships/hyperlink" Target="https://doi.org/10.1038/s41746-020-0221-y" TargetMode="External"/><Relationship Id="rId21" Type="http://schemas.openxmlformats.org/officeDocument/2006/relationships/hyperlink" Target="https://doi.org/10.1038/s41591-018-0316-z" TargetMode="External"/><Relationship Id="rId34" Type="http://schemas.openxmlformats.org/officeDocument/2006/relationships/hyperlink" Target="https://doi.org/10.1093/cid/ciaa1573" TargetMode="External"/><Relationship Id="rId42" Type="http://schemas.openxmlformats.org/officeDocument/2006/relationships/hyperlink" Target="https://doi.org/10.1038/s41591-018-0300-7" TargetMode="External"/><Relationship Id="rId47" Type="http://schemas.openxmlformats.org/officeDocument/2006/relationships/hyperlink" Target="https://doi.org/10.1038/s41591-019-0503-6" TargetMode="External"/><Relationship Id="rId50" Type="http://schemas.openxmlformats.org/officeDocument/2006/relationships/footer" Target="footer1.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93/cid/cit212" TargetMode="External"/><Relationship Id="rId29" Type="http://schemas.openxmlformats.org/officeDocument/2006/relationships/hyperlink" Target="https://doi.org/10.1177/2042098614554919" TargetMode="External"/><Relationship Id="rId11" Type="http://schemas.openxmlformats.org/officeDocument/2006/relationships/hyperlink" Target="https://doi.org/10.1016/S0140-6736(21)02724-0" TargetMode="External"/><Relationship Id="rId24" Type="http://schemas.openxmlformats.org/officeDocument/2006/relationships/hyperlink" Target="https://doi.org/10.1073/pnas.1717295115" TargetMode="External"/><Relationship Id="rId32" Type="http://schemas.openxmlformats.org/officeDocument/2006/relationships/hyperlink" Target="https://doi.org/10.1038/s41591-018-0272-7" TargetMode="External"/><Relationship Id="rId37" Type="http://schemas.openxmlformats.org/officeDocument/2006/relationships/hyperlink" Target="https://doi.org/10.2196/15182" TargetMode="External"/><Relationship Id="rId40" Type="http://schemas.openxmlformats.org/officeDocument/2006/relationships/hyperlink" Target="https://doi.org/10.1016/j.cmi.2017.09.011" TargetMode="External"/><Relationship Id="rId45" Type="http://schemas.openxmlformats.org/officeDocument/2006/relationships/hyperlink" Target="https://doi.org/10.1093/cid/cix671" TargetMode="External"/><Relationship Id="rId53"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s://prh.mbimph.com/review-history/5995" TargetMode="External"/><Relationship Id="rId19" Type="http://schemas.openxmlformats.org/officeDocument/2006/relationships/hyperlink" Target="https://doi.org/10.1093/molbev/msw275" TargetMode="External"/><Relationship Id="rId31" Type="http://schemas.openxmlformats.org/officeDocument/2006/relationships/hyperlink" Target="https://doi.org/10.1016/j.cmi.2020.03.020" TargetMode="External"/><Relationship Id="rId44" Type="http://schemas.openxmlformats.org/officeDocument/2006/relationships/hyperlink" Target="https://www.ncbi.nlm.nih.gov/pmc/articles/PMC4378521/" TargetMode="External"/><Relationship Id="rId5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i.org/10.56557/ajoaims/2026/v8i1177" TargetMode="External"/><Relationship Id="rId14" Type="http://schemas.openxmlformats.org/officeDocument/2006/relationships/hyperlink" Target="https://doi.org/10.1016/S1473-3099(17)30325-0" TargetMode="External"/><Relationship Id="rId22" Type="http://schemas.openxmlformats.org/officeDocument/2006/relationships/hyperlink" Target="https://doi.org/10.4065/mcp.2010.0674" TargetMode="External"/><Relationship Id="rId27" Type="http://schemas.openxmlformats.org/officeDocument/2006/relationships/hyperlink" Target="https://doi.org/10.1016/S1473-3099(13)70318-9" TargetMode="External"/><Relationship Id="rId30" Type="http://schemas.openxmlformats.org/officeDocument/2006/relationships/hyperlink" Target="https://amr-review.org/sites/default/files/160525_Final%20paper_with%20cover.pdf" TargetMode="External"/><Relationship Id="rId35" Type="http://schemas.openxmlformats.org/officeDocument/2006/relationships/hyperlink" Target="https://doi.org/10.1016/S0140-6736(10)61960-5" TargetMode="External"/><Relationship Id="rId43" Type="http://schemas.openxmlformats.org/officeDocument/2006/relationships/hyperlink" Target="https://doi.org/10.3343/alm.2013.33.1.14" TargetMode="External"/><Relationship Id="rId48" Type="http://schemas.openxmlformats.org/officeDocument/2006/relationships/header" Target="header1.xm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doi.org/10.1186/s40168-018-0401-z" TargetMode="External"/><Relationship Id="rId17" Type="http://schemas.openxmlformats.org/officeDocument/2006/relationships/hyperlink" Target="https://doi.org/10.1145/2939672.2939785" TargetMode="External"/><Relationship Id="rId25" Type="http://schemas.openxmlformats.org/officeDocument/2006/relationships/hyperlink" Target="https://doi.org/10.1038/s41591-018-0216-3" TargetMode="External"/><Relationship Id="rId33" Type="http://schemas.openxmlformats.org/officeDocument/2006/relationships/hyperlink" Target="https://doi.org/10.1038/s41746-018-0029-1" TargetMode="External"/><Relationship Id="rId38" Type="http://schemas.openxmlformats.org/officeDocument/2006/relationships/hyperlink" Target="https://doi.org/10.1001/jama.2018.17163" TargetMode="External"/><Relationship Id="rId46" Type="http://schemas.openxmlformats.org/officeDocument/2006/relationships/hyperlink" Target="https://doi.org/10.1038/s41591-019-0548-6" TargetMode="External"/><Relationship Id="rId20" Type="http://schemas.openxmlformats.org/officeDocument/2006/relationships/hyperlink" Target="https://doi.org/10.1016/j.cmi.2014.09.005" TargetMode="External"/><Relationship Id="rId41" Type="http://schemas.openxmlformats.org/officeDocument/2006/relationships/hyperlink" Target="https://doi.org/10.1016/S2589-7500(19)30154-2" TargetMode="External"/><Relationship Id="rId54" Type="http://schemas.openxmlformats.org/officeDocument/2006/relationships/hyperlink" Target="https://prh.mbimph.com/review-history/599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01/jama.2017.18391" TargetMode="External"/><Relationship Id="rId23" Type="http://schemas.openxmlformats.org/officeDocument/2006/relationships/hyperlink" Target="https://doi.org/10.1186/s12916-019-1426-2" TargetMode="External"/><Relationship Id="rId28" Type="http://schemas.openxmlformats.org/officeDocument/2006/relationships/hyperlink" Target="https://doi.org/10.1016/S2589-7500(19)30123-2" TargetMode="External"/><Relationship Id="rId36" Type="http://schemas.openxmlformats.org/officeDocument/2006/relationships/hyperlink" Target="https://doi.org/10.1145/2939672.2939778" TargetMode="External"/><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C228AD-4486-42F3-ACFE-B835381D1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14</Pages>
  <Words>6910</Words>
  <Characters>46438</Characters>
  <Application>Microsoft Office Word</Application>
  <DocSecurity>0</DocSecurity>
  <Lines>829</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SDI PC 1176</cp:lastModifiedBy>
  <cp:revision>171</cp:revision>
  <dcterms:created xsi:type="dcterms:W3CDTF">2014-09-20T11:25:00Z</dcterms:created>
  <dcterms:modified xsi:type="dcterms:W3CDTF">2026-08-03T07:51:00Z</dcterms:modified>
</cp:coreProperties>
</file>